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spacing w:line="560" w:lineRule="exac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sz w:val="44"/>
          <w:szCs w:val="44"/>
          <w14:textFill>
            <w14:solidFill>
              <w14:schemeClr w14:val="tx1"/>
            </w14:solidFill>
          </w14:textFill>
        </w:rPr>
        <w:t>深圳经济特区人工智能产业促进条例</w:t>
      </w:r>
      <w:bookmarkEnd w:id="0"/>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（草案）</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eastAsia="黑体"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eastAsia="黑体" w:cs="Times New Roman"/>
          <w:color w:val="000000" w:themeColor="text1"/>
          <w:szCs w:val="40"/>
          <w14:textFill>
            <w14:solidFill>
              <w14:schemeClr w14:val="tx1"/>
            </w14:solidFill>
          </w14:textFill>
        </w:rPr>
      </w:pPr>
      <w:r>
        <w:rPr>
          <w:rFonts w:hint="eastAsia" w:eastAsia="黑体" w:cs="Times New Roman"/>
          <w:color w:val="000000" w:themeColor="text1"/>
          <w:szCs w:val="40"/>
          <w14:textFill>
            <w14:solidFill>
              <w14:schemeClr w14:val="tx1"/>
            </w14:solidFill>
          </w14:textFill>
        </w:rPr>
        <w:t>目</w:t>
      </w:r>
      <w:r>
        <w:rPr>
          <w:rFonts w:eastAsia="黑体" w:cs="Times New Roman"/>
          <w:color w:val="000000" w:themeColor="text1"/>
          <w:szCs w:val="40"/>
          <w14:textFill>
            <w14:solidFill>
              <w14:schemeClr w14:val="tx1"/>
            </w14:solidFill>
          </w14:textFill>
        </w:rPr>
        <w:t xml:space="preserve">  </w:t>
      </w:r>
      <w:r>
        <w:rPr>
          <w:rFonts w:hint="eastAsia" w:eastAsia="黑体" w:cs="Times New Roman"/>
          <w:color w:val="000000" w:themeColor="text1"/>
          <w:szCs w:val="40"/>
          <w14:textFill>
            <w14:solidFill>
              <w14:schemeClr w14:val="tx1"/>
            </w14:solidFill>
          </w14:textFill>
        </w:rPr>
        <w:t>录</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eastAsia="仿宋"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 w:val="28"/>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第二章  基础研究与技术开发</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第三章  产业基础设施建设</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 w:val="24"/>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第四章  应用场景拓展</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第五章  促进与保障</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第六章  治理原则与措施</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第七章  附则</w:t>
      </w:r>
    </w:p>
    <w:p>
      <w:pPr>
        <w:rPr>
          <w:rFonts w:ascii="仿宋_GB2312" w:cs="Times New Roman"/>
          <w:color w:val="000000" w:themeColor="text1"/>
          <w:szCs w:val="40"/>
          <w14:textFill>
            <w14:solidFill>
              <w14:schemeClr w14:val="tx1"/>
            </w14:solidFill>
          </w14:textFill>
        </w:rPr>
      </w:pPr>
      <w:r>
        <w:rPr>
          <w:rFonts w:ascii="仿宋_GB2312" w:cs="Times New Roman"/>
          <w:color w:val="000000" w:themeColor="text1"/>
          <w:szCs w:val="40"/>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hint="eastAsia"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第一章</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总则</w:t>
      </w:r>
    </w:p>
    <w:p>
      <w:pPr>
        <w:pStyle w:val="2"/>
        <w:keepNext w:val="0"/>
        <w:keepLines w:val="0"/>
        <w:pageBreakBefore w:val="0"/>
        <w:widowControl w:val="0"/>
        <w:kinsoku/>
        <w:wordWrap/>
        <w:overflowPunct w:val="0"/>
        <w:topLinePunct w:val="0"/>
        <w:autoSpaceDE/>
        <w:autoSpaceDN/>
        <w:bidi w:val="0"/>
        <w:spacing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第一条【立法目的】</w:t>
      </w:r>
      <w:r>
        <w:rPr>
          <w:rFonts w:eastAsia="黑体" w:asciiTheme="minorHAnsi" w:hAnsiTheme="minorHAnsi"/>
          <w:color w:val="000000" w:themeColor="text1"/>
          <w:szCs w:val="32"/>
          <w14:textFill>
            <w14:solidFill>
              <w14:schemeClr w14:val="tx1"/>
            </w14:solidFill>
          </w14:textFill>
        </w:rPr>
        <w:t xml:space="preserve"> </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为了促进深圳经济特区人工智能产业高质量发展，推进人工智能在经济社会领域深度融合应用，根据有关法律、行政法规的基本原则，结合本市实际，制定本条例。</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第二条【人工智能定义】</w:t>
      </w:r>
      <w:r>
        <w:rPr>
          <w:rFonts w:hint="eastAsia"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 xml:space="preserve"> 本条例所称人工智能，是指运用人工的方法和技术，利用计算机或者其控制的设备，通过对收集的外部数据进行学习、分析,感知环境、获取知识、推导演绎，研究、开发用于模拟、延伸和扩展人的智能的理论、方法、技术以及应用的能力。</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 xml:space="preserve">第三条【人工智能产业】 </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本条例所称人工智能产业，是指人工智能研究</w:t>
      </w:r>
      <w:r>
        <w:rPr>
          <w:rFonts w:ascii="仿宋_GB2312" w:hAnsiTheme="minorHAnsi"/>
          <w:color w:val="000000" w:themeColor="text1"/>
          <w:szCs w:val="32"/>
          <w14:textFill>
            <w14:solidFill>
              <w14:schemeClr w14:val="tx1"/>
            </w14:solidFill>
          </w14:textFill>
        </w:rPr>
        <w:t>和</w:t>
      </w:r>
      <w:r>
        <w:rPr>
          <w:rFonts w:hint="eastAsia" w:ascii="仿宋_GB2312" w:hAnsiTheme="minorHAnsi"/>
          <w:color w:val="000000" w:themeColor="text1"/>
          <w:szCs w:val="32"/>
          <w14:textFill>
            <w14:solidFill>
              <w14:schemeClr w14:val="tx1"/>
            </w14:solidFill>
          </w14:textFill>
        </w:rPr>
        <w:t>应用所涉及的软硬件产品开发和生产、系统应用、集成服务等核心产业，以及人工智能技术在民生服务、社会治理、经济发展等领域融合应用带动的相关产业。</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第四条【适用范围】</w:t>
      </w:r>
      <w:r>
        <w:rPr>
          <w:rFonts w:hint="eastAsia" w:ascii="仿宋_GB2312" w:hAnsiTheme="minorHAnsi"/>
          <w:bCs/>
          <w:color w:val="000000" w:themeColor="text1"/>
          <w:szCs w:val="32"/>
          <w14:textFill>
            <w14:solidFill>
              <w14:schemeClr w14:val="tx1"/>
            </w14:solidFill>
          </w14:textFill>
        </w:rPr>
        <w:t xml:space="preserve"> </w:t>
      </w:r>
      <w:r>
        <w:rPr>
          <w:rFonts w:ascii="仿宋_GB2312"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本市从事人工智能技术研究以及运用人工智能技术提供产品和服务的相关活动适用本条例。</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eastAsia="黑体" w:asciiTheme="minorHAnsi" w:hAnsiTheme="minorHAnsi"/>
          <w:bCs/>
          <w:i/>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第五条【发展原则】</w:t>
      </w:r>
      <w:r>
        <w:rPr>
          <w:rFonts w:eastAsia="黑体" w:cs="Times New Roman"/>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本市人工智能产业发展遵循科技引领、开源开放、应用驱动、以人为本、安全可控、伦理规范的原则。</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第六条【职责分工】</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市、区人民政府工业和信息化部门是人工智能产业主管部门（以下简称产业主管部门），负责实施、协调、督促本行政区域内人工智能产业发展工作。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市网信部门以及市、区人民政府发展改革、教育、科技创新、公安、财政、人力资源保障、规划和自然资源、生态环境、交通运输、商务、卫生健康、国资、市场监管、统计、城管和综合执法、政务服务数据管理、中小企业服务等部门在各自职责范围内，负责人工智能产业发展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color w:val="000000" w:themeColor="text1"/>
          <w:szCs w:val="32"/>
          <w14:textFill>
            <w14:solidFill>
              <w14:schemeClr w14:val="tx1"/>
            </w14:solidFill>
          </w14:textFill>
        </w:rPr>
      </w:pPr>
      <w:r>
        <w:rPr>
          <w:rFonts w:eastAsia="黑体" w:asciiTheme="minorHAnsi" w:hAnsiTheme="minorHAnsi"/>
          <w:color w:val="000000" w:themeColor="text1"/>
          <w:szCs w:val="32"/>
          <w14:textFill>
            <w14:solidFill>
              <w14:schemeClr w14:val="tx1"/>
            </w14:solidFill>
          </w14:textFill>
        </w:rPr>
        <w:t>第</w:t>
      </w:r>
      <w:r>
        <w:rPr>
          <w:rFonts w:hint="eastAsia" w:eastAsia="黑体" w:asciiTheme="minorHAnsi" w:hAnsiTheme="minorHAnsi"/>
          <w:color w:val="000000" w:themeColor="text1"/>
          <w:szCs w:val="32"/>
          <w14:textFill>
            <w14:solidFill>
              <w14:schemeClr w14:val="tx1"/>
            </w14:solidFill>
          </w14:textFill>
        </w:rPr>
        <w:t>七</w:t>
      </w:r>
      <w:r>
        <w:rPr>
          <w:rFonts w:eastAsia="黑体" w:asciiTheme="minorHAnsi" w:hAnsiTheme="minorHAnsi"/>
          <w:color w:val="000000" w:themeColor="text1"/>
          <w:szCs w:val="32"/>
          <w14:textFill>
            <w14:solidFill>
              <w14:schemeClr w14:val="tx1"/>
            </w14:solidFill>
          </w14:textFill>
        </w:rPr>
        <w:t>条</w:t>
      </w:r>
      <w:r>
        <w:rPr>
          <w:rFonts w:hint="eastAsia" w:eastAsia="黑体" w:asciiTheme="minorHAnsi" w:hAnsiTheme="minorHAnsi"/>
          <w:color w:val="000000" w:themeColor="text1"/>
          <w:szCs w:val="32"/>
          <w14:textFill>
            <w14:solidFill>
              <w14:schemeClr w14:val="tx1"/>
            </w14:solidFill>
          </w14:textFill>
        </w:rPr>
        <w:t xml:space="preserve">【协调机制】 </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市人民政府应当建立本市人工智能产业发展协调工作机制，统筹协调人工智能发展和安全工作，推动人工智能产业健康有序发展，充分发挥人工智能对经济、社会、生态等方面可持续发展的推动作用。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eastAsia="黑体" w:asciiTheme="minorHAnsi" w:hAnsiTheme="minorHAnsi"/>
          <w:bCs/>
          <w:color w:val="000000" w:themeColor="text1"/>
          <w:szCs w:val="32"/>
          <w14:textFill>
            <w14:solidFill>
              <w14:schemeClr w14:val="tx1"/>
            </w14:solidFill>
          </w14:textFill>
        </w:rPr>
      </w:pPr>
      <w:r>
        <w:rPr>
          <w:rFonts w:hint="eastAsia" w:ascii="仿宋_GB2312" w:hAnsiTheme="minorHAnsi"/>
          <w:bCs/>
          <w:color w:val="000000" w:themeColor="text1"/>
          <w:szCs w:val="32"/>
          <w14:textFill>
            <w14:solidFill>
              <w14:schemeClr w14:val="tx1"/>
            </w14:solidFill>
          </w14:textFill>
        </w:rPr>
        <w:t>建立市、区联动机制，引导各部门形成合力，协调、平衡各区协同发展。</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eastAsia="黑体" w:asciiTheme="minorHAnsi"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第八</w:t>
      </w:r>
      <w:r>
        <w:rPr>
          <w:rFonts w:eastAsia="黑体" w:asciiTheme="minorHAnsi" w:hAnsiTheme="minorHAnsi"/>
          <w:bCs/>
          <w:color w:val="000000" w:themeColor="text1"/>
          <w:szCs w:val="32"/>
          <w14:textFill>
            <w14:solidFill>
              <w14:schemeClr w14:val="tx1"/>
            </w14:solidFill>
          </w14:textFill>
        </w:rPr>
        <w:t>条</w:t>
      </w:r>
      <w:r>
        <w:rPr>
          <w:rFonts w:hint="eastAsia" w:eastAsia="黑体" w:asciiTheme="minorHAnsi" w:hAnsiTheme="minorHAnsi"/>
          <w:bCs/>
          <w:color w:val="000000" w:themeColor="text1"/>
          <w:szCs w:val="32"/>
          <w14:textFill>
            <w14:solidFill>
              <w14:schemeClr w14:val="tx1"/>
            </w14:solidFill>
          </w14:textFill>
        </w:rPr>
        <w:t>【发展规划和年度计划】</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人工智能产业发展应当纳入本市国民经济和社会发展规划，明确人工智能产业发展的总体思路、发展目标、主要任务和政策措施。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仿宋_GB2312" w:hAnsiTheme="minorHAnsi"/>
          <w:color w:val="000000" w:themeColor="text1"/>
          <w:szCs w:val="32"/>
          <w14:textFill>
            <w14:solidFill>
              <w14:schemeClr w14:val="tx1"/>
            </w14:solidFill>
          </w14:textFill>
        </w:rPr>
        <w:t>产业主管部门应当编制本市人工智能产业发展年度计划，报市人民政府批准后发布实施。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cs="Times New Roman"/>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第九条【标准制定】</w:t>
      </w:r>
      <w:r>
        <w:rPr>
          <w:rFonts w:eastAsia="黑体" w:asciiTheme="minorHAnsi" w:hAnsiTheme="minorHAnsi"/>
          <w:bCs/>
          <w:color w:val="000000" w:themeColor="text1"/>
          <w:szCs w:val="32"/>
          <w14:textFill>
            <w14:solidFill>
              <w14:schemeClr w14:val="tx1"/>
            </w14:solidFill>
          </w14:textFill>
        </w:rPr>
        <w:t xml:space="preserve">  </w:t>
      </w:r>
      <w:r>
        <w:rPr>
          <w:rFonts w:hint="eastAsia" w:cs="Times New Roman"/>
          <w:bCs/>
          <w:color w:val="000000" w:themeColor="text1"/>
          <w:szCs w:val="32"/>
          <w14:textFill>
            <w14:solidFill>
              <w14:schemeClr w14:val="tx1"/>
            </w14:solidFill>
          </w14:textFill>
        </w:rPr>
        <w:t>市</w:t>
      </w:r>
      <w:r>
        <w:rPr>
          <w:rFonts w:hint="eastAsia" w:asciiTheme="minorHAnsi" w:hAnsiTheme="minorHAnsi"/>
          <w:color w:val="000000" w:themeColor="text1"/>
          <w14:textFill>
            <w14:solidFill>
              <w14:schemeClr w14:val="tx1"/>
            </w14:solidFill>
          </w14:textFill>
        </w:rPr>
        <w:t>标准化管理部门应</w:t>
      </w:r>
      <w:r>
        <w:rPr>
          <w:rFonts w:hint="eastAsia" w:cs="Times New Roman"/>
          <w:bCs/>
          <w:color w:val="000000" w:themeColor="text1"/>
          <w:szCs w:val="32"/>
          <w14:textFill>
            <w14:solidFill>
              <w14:schemeClr w14:val="tx1"/>
            </w14:solidFill>
          </w14:textFill>
        </w:rPr>
        <w:t>当建立和完善人工智能地方标准体系。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鼓励高等院校、科研机构、行业组织和企业参与制订人工智能领域的国际标准、国家标准、行业标准、地方标准。</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第十条【统计监测】</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市统计部门应当会同市工业和信息化等有关部门，建立健全人工智能产业统计分类标准，制定和完善人工智能产业统计分类目录，有序开展人工智能产业统计调查和监测分析工作。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第十一条【包容审慎监管】</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市人民政府及其有关部门应当按照鼓励创新的原则，对人工智能产业实行包容审慎监管。针对人工智能新技术、新产业、新业态、新模式等特点制定相应的监管规则和标准，实行分类分级监管。</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第十二条【国际合作与交流】</w:t>
      </w:r>
      <w:r>
        <w:rPr>
          <w:rFonts w:eastAsia="黑体" w:asciiTheme="minorHAnsi" w:hAnsiTheme="minorHAnsi"/>
          <w:bCs/>
          <w:color w:val="000000" w:themeColor="text1"/>
          <w:szCs w:val="32"/>
          <w14:textFill>
            <w14:solidFill>
              <w14:schemeClr w14:val="tx1"/>
            </w14:solidFill>
          </w14:textFill>
        </w:rPr>
        <w:t xml:space="preserve">  </w:t>
      </w:r>
      <w:r>
        <w:rPr>
          <w:rFonts w:ascii="仿宋_GB2312" w:hAnsiTheme="minorHAnsi"/>
          <w:bCs/>
          <w:color w:val="000000" w:themeColor="text1"/>
          <w:szCs w:val="32"/>
          <w14:textFill>
            <w14:solidFill>
              <w14:schemeClr w14:val="tx1"/>
            </w14:solidFill>
          </w14:textFill>
        </w:rPr>
        <w:t>支持人工智能企业开展国际交流合作</w:t>
      </w:r>
      <w:r>
        <w:rPr>
          <w:rFonts w:hint="eastAsia" w:ascii="仿宋_GB2312" w:hAnsiTheme="minorHAnsi"/>
          <w:bCs/>
          <w:color w:val="000000" w:themeColor="text1"/>
          <w:szCs w:val="32"/>
          <w14:textFill>
            <w14:solidFill>
              <w14:schemeClr w14:val="tx1"/>
            </w14:solidFill>
          </w14:textFill>
        </w:rPr>
        <w:t>，</w:t>
      </w:r>
      <w:r>
        <w:rPr>
          <w:rFonts w:ascii="仿宋_GB2312" w:hAnsiTheme="minorHAnsi"/>
          <w:bCs/>
          <w:color w:val="000000" w:themeColor="text1"/>
          <w:szCs w:val="32"/>
          <w14:textFill>
            <w14:solidFill>
              <w14:schemeClr w14:val="tx1"/>
            </w14:solidFill>
          </w14:textFill>
        </w:rPr>
        <w:t>拓展海外布局</w:t>
      </w:r>
      <w:r>
        <w:rPr>
          <w:rFonts w:hint="eastAsia" w:ascii="仿宋_GB2312" w:hAnsiTheme="minorHAnsi"/>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仿宋_GB2312" w:hAnsiTheme="minorHAnsi"/>
          <w:color w:val="000000" w:themeColor="text1"/>
          <w:szCs w:val="32"/>
          <w14:textFill>
            <w14:solidFill>
              <w14:schemeClr w14:val="tx1"/>
            </w14:solidFill>
          </w14:textFill>
        </w:rPr>
        <w:t>鼓励高等院校、科研机构在基础研究、</w:t>
      </w:r>
      <w:r>
        <w:rPr>
          <w:rFonts w:hint="eastAsia" w:asciiTheme="minorHAnsi" w:hAnsiTheme="minorHAnsi"/>
          <w:color w:val="000000" w:themeColor="text1"/>
          <w14:textFill>
            <w14:solidFill>
              <w14:schemeClr w14:val="tx1"/>
            </w14:solidFill>
          </w14:textFill>
        </w:rPr>
        <w:t>技术开发、人</w:t>
      </w:r>
      <w:r>
        <w:rPr>
          <w:rFonts w:hint="eastAsia" w:ascii="仿宋_GB2312" w:hAnsiTheme="minorHAnsi"/>
          <w:color w:val="000000" w:themeColor="text1"/>
          <w:szCs w:val="32"/>
          <w14:textFill>
            <w14:solidFill>
              <w14:schemeClr w14:val="tx1"/>
            </w14:solidFill>
          </w14:textFill>
        </w:rPr>
        <w:t>才培育等方面开展国际交流与合作，推进技术创新和发展。</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黑体" w:hAnsi="黑体" w:eastAsia="黑体"/>
          <w:color w:val="000000" w:themeColor="text1"/>
          <w14:textFill>
            <w14:solidFill>
              <w14:schemeClr w14:val="tx1"/>
            </w14:solidFill>
          </w14:textFill>
        </w:rPr>
        <w:t>第十三条【应用倡导】</w:t>
      </w:r>
      <w:r>
        <w:rPr>
          <w:rFonts w:hint="eastAsia" w:asciiTheme="minorHAnsi" w:hAnsiTheme="minorHAnsi"/>
          <w:color w:val="000000" w:themeColor="text1"/>
          <w14:textFill>
            <w14:solidFill>
              <w14:schemeClr w14:val="tx1"/>
            </w14:solidFill>
          </w14:textFill>
        </w:rPr>
        <w:t xml:space="preserve"> </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在遵循有关法律法规和伦理规</w:t>
      </w:r>
      <w:r>
        <w:rPr>
          <w:rFonts w:hint="eastAsia" w:ascii="仿宋_GB2312" w:hAnsiTheme="minorHAnsi"/>
          <w:color w:val="000000" w:themeColor="text1"/>
          <w:spacing w:val="-11"/>
          <w:szCs w:val="32"/>
          <w14:textFill>
            <w14:solidFill>
              <w14:schemeClr w14:val="tx1"/>
            </w14:solidFill>
          </w14:textFill>
        </w:rPr>
        <w:t>范的前提下，推动人工智能产品和服务的普及应用，提高全社会人工智能的应用意识和能力，推进经济社会智能化发展。</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ascii="仿宋_GB2312"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outlineLvl w:val="1"/>
        <w:rPr>
          <w:rFonts w:hint="eastAsia"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第二章  基础研究与技术开发</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第十</w:t>
      </w:r>
      <w:r>
        <w:rPr>
          <w:rFonts w:ascii="Calibri" w:hAnsi="Calibri" w:eastAsia="黑体" w:cs="Times New Roman"/>
          <w:bCs/>
          <w:color w:val="000000" w:themeColor="text1"/>
          <w:szCs w:val="32"/>
          <w14:textFill>
            <w14:solidFill>
              <w14:schemeClr w14:val="tx1"/>
            </w14:solidFill>
          </w14:textFill>
        </w:rPr>
        <w:t>四</w:t>
      </w:r>
      <w:r>
        <w:rPr>
          <w:rFonts w:hint="eastAsia" w:ascii="Calibri" w:hAnsi="Calibri" w:eastAsia="黑体" w:cs="Times New Roman"/>
          <w:bCs/>
          <w:color w:val="000000" w:themeColor="text1"/>
          <w:szCs w:val="32"/>
          <w14:textFill>
            <w14:solidFill>
              <w14:schemeClr w14:val="tx1"/>
            </w14:solidFill>
          </w14:textFill>
        </w:rPr>
        <w:t>条【基础研究】</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鼓励高等院校、科研机构、企业和其他组织以应用为主导，面向经济社会发展和国家安全面临</w:t>
      </w:r>
      <w:r>
        <w:rPr>
          <w:rFonts w:hint="eastAsia" w:asciiTheme="minorHAnsi" w:hAnsiTheme="minorHAnsi"/>
          <w:color w:val="000000" w:themeColor="text1"/>
          <w14:textFill>
            <w14:solidFill>
              <w14:schemeClr w14:val="tx1"/>
            </w14:solidFill>
          </w14:textFill>
        </w:rPr>
        <w:t>的重大问题，开</w:t>
      </w:r>
      <w:r>
        <w:rPr>
          <w:rFonts w:hint="eastAsia" w:ascii="仿宋_GB2312" w:hAnsi="Calibri" w:cs="Times New Roman"/>
          <w:bCs/>
          <w:color w:val="000000" w:themeColor="text1"/>
          <w:szCs w:val="32"/>
          <w14:textFill>
            <w14:solidFill>
              <w14:schemeClr w14:val="tx1"/>
            </w14:solidFill>
          </w14:textFill>
        </w:rPr>
        <w:t>展长周期、跨学科的人工智能基础研究，市人民政府及其有关部门应当给予支持。</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bCs/>
          <w:color w:val="000000" w:themeColor="text1"/>
          <w:szCs w:val="32"/>
          <w14:textFill>
            <w14:solidFill>
              <w14:schemeClr w14:val="tx1"/>
            </w14:solidFill>
          </w14:textFill>
        </w:rPr>
      </w:pPr>
      <w:r>
        <w:rPr>
          <w:rFonts w:hint="eastAsia" w:ascii="仿宋_GB2312" w:hAnsi="Calibri" w:cs="Times New Roman"/>
          <w:bCs/>
          <w:color w:val="000000" w:themeColor="text1"/>
          <w:szCs w:val="32"/>
          <w14:textFill>
            <w14:solidFill>
              <w14:schemeClr w14:val="tx1"/>
            </w14:solidFill>
          </w14:textFill>
        </w:rPr>
        <w:t>市人民政府及其有关部门应当完善基础研究重大任务形成机制，强化对目标导向基础研究的系统部署，推动人工智能领域重点项目、基地、人才、资金一体化配置。</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第十</w:t>
      </w:r>
      <w:r>
        <w:rPr>
          <w:rFonts w:ascii="Calibri" w:hAnsi="Calibri" w:eastAsia="黑体" w:cs="Times New Roman"/>
          <w:bCs/>
          <w:color w:val="000000" w:themeColor="text1"/>
          <w:szCs w:val="32"/>
          <w14:textFill>
            <w14:solidFill>
              <w14:schemeClr w14:val="tx1"/>
            </w14:solidFill>
          </w14:textFill>
        </w:rPr>
        <w:t>五</w:t>
      </w:r>
      <w:r>
        <w:rPr>
          <w:rFonts w:hint="eastAsia" w:ascii="Calibri" w:hAnsi="Calibri" w:eastAsia="黑体" w:cs="Times New Roman"/>
          <w:bCs/>
          <w:color w:val="000000" w:themeColor="text1"/>
          <w:szCs w:val="32"/>
          <w14:textFill>
            <w14:solidFill>
              <w14:schemeClr w14:val="tx1"/>
            </w14:solidFill>
          </w14:textFill>
        </w:rPr>
        <w:t>条【关键核心技术突破】</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市人民政府及其有关部门应当聚焦人工智能关键核心环节，建立以市场需求为主导、政产学研深度融合的关键核心技术攻关机制，制定覆盖人工智能关键核心技术攻关全周期的扶持政策体系。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Calibri" w:hAnsi="Calibri" w:eastAsia="黑体"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第十</w:t>
      </w:r>
      <w:r>
        <w:rPr>
          <w:rFonts w:ascii="黑体" w:hAnsi="黑体" w:eastAsia="黑体" w:cs="Times New Roman"/>
          <w:bCs/>
          <w:color w:val="000000" w:themeColor="text1"/>
          <w:szCs w:val="32"/>
          <w14:textFill>
            <w14:solidFill>
              <w14:schemeClr w14:val="tx1"/>
            </w14:solidFill>
          </w14:textFill>
        </w:rPr>
        <w:t>六</w:t>
      </w:r>
      <w:r>
        <w:rPr>
          <w:rFonts w:hint="eastAsia" w:ascii="黑体" w:hAnsi="黑体" w:eastAsia="黑体" w:cs="Times New Roman"/>
          <w:bCs/>
          <w:color w:val="000000" w:themeColor="text1"/>
          <w:szCs w:val="32"/>
          <w14:textFill>
            <w14:solidFill>
              <w14:schemeClr w14:val="tx1"/>
            </w14:solidFill>
          </w14:textFill>
        </w:rPr>
        <w:t>条【国家、省、市研究平台】</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加快国家、省、市研究平台建设，开展战略性、前瞻性、系统性人工智能基础研究和关键核心技术攻关，推动学科理论与技术前沿的突破和创新，发挥创新支撑作用。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第十</w:t>
      </w:r>
      <w:r>
        <w:rPr>
          <w:rFonts w:ascii="黑体" w:hAnsi="黑体" w:eastAsia="黑体" w:cs="Times New Roman"/>
          <w:bCs/>
          <w:color w:val="000000" w:themeColor="text1"/>
          <w:szCs w:val="32"/>
          <w14:textFill>
            <w14:solidFill>
              <w14:schemeClr w14:val="tx1"/>
            </w14:solidFill>
          </w14:textFill>
        </w:rPr>
        <w:t>七</w:t>
      </w:r>
      <w:r>
        <w:rPr>
          <w:rFonts w:hint="eastAsia" w:ascii="黑体" w:hAnsi="黑体" w:eastAsia="黑体" w:cs="Times New Roman"/>
          <w:bCs/>
          <w:color w:val="000000" w:themeColor="text1"/>
          <w:szCs w:val="32"/>
          <w14:textFill>
            <w14:solidFill>
              <w14:schemeClr w14:val="tx1"/>
            </w14:solidFill>
          </w14:textFill>
        </w:rPr>
        <w:t>条【创新载体建设】</w:t>
      </w:r>
      <w:r>
        <w:rPr>
          <w:rFonts w:hint="eastAsia" w:ascii="仿宋_GB2312" w:hAnsi="Calibri"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市人民政府及其有关部门应当</w:t>
      </w:r>
      <w:r>
        <w:rPr>
          <w:rFonts w:ascii="仿宋_GB2312" w:cs="Times New Roman"/>
          <w:bCs/>
          <w:color w:val="000000" w:themeColor="text1"/>
          <w:szCs w:val="32"/>
          <w14:textFill>
            <w14:solidFill>
              <w14:schemeClr w14:val="tx1"/>
            </w14:solidFill>
          </w14:textFill>
        </w:rPr>
        <w:t>加快</w:t>
      </w:r>
      <w:r>
        <w:rPr>
          <w:rFonts w:hint="eastAsia" w:ascii="仿宋_GB2312" w:cs="Times New Roman"/>
          <w:bCs/>
          <w:color w:val="000000" w:themeColor="text1"/>
          <w:szCs w:val="32"/>
          <w14:textFill>
            <w14:solidFill>
              <w14:schemeClr w14:val="tx1"/>
            </w14:solidFill>
          </w14:textFill>
        </w:rPr>
        <w:t>人工智能在医疗、金融、供应链、交通、制造、政务等领域的融合创新，支持建设一批重点实验室、工程研究中心、产业创新中心、技术创新中心、企业技术中心、制造业创新中心</w:t>
      </w:r>
      <w:r>
        <w:rPr>
          <w:rFonts w:hint="eastAsia" w:ascii="仿宋_GB2312" w:hAnsi="Calibri" w:cs="Times New Roman"/>
          <w:bCs/>
          <w:color w:val="000000" w:themeColor="text1"/>
          <w:szCs w:val="32"/>
          <w14:textFill>
            <w14:solidFill>
              <w14:schemeClr w14:val="tx1"/>
            </w14:solidFill>
          </w14:textFill>
        </w:rPr>
        <w:t>等创新载体。</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第十</w:t>
      </w:r>
      <w:r>
        <w:rPr>
          <w:rFonts w:ascii="黑体" w:hAnsi="黑体" w:eastAsia="黑体" w:cs="Times New Roman"/>
          <w:bCs/>
          <w:color w:val="000000" w:themeColor="text1"/>
          <w:szCs w:val="32"/>
          <w14:textFill>
            <w14:solidFill>
              <w14:schemeClr w14:val="tx1"/>
            </w14:solidFill>
          </w14:textFill>
        </w:rPr>
        <w:t>八</w:t>
      </w:r>
      <w:r>
        <w:rPr>
          <w:rFonts w:hint="eastAsia" w:ascii="黑体" w:hAnsi="黑体" w:eastAsia="黑体" w:cs="Times New Roman"/>
          <w:bCs/>
          <w:color w:val="000000" w:themeColor="text1"/>
          <w:szCs w:val="32"/>
          <w14:textFill>
            <w14:solidFill>
              <w14:schemeClr w14:val="tx1"/>
            </w14:solidFill>
          </w14:textFill>
        </w:rPr>
        <w:t>条【新型研发机构】</w:t>
      </w:r>
      <w:r>
        <w:rPr>
          <w:rFonts w:hint="eastAsia" w:ascii="仿宋_GB2312" w:hAnsi="Calibri"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培育和建设投资主体多元化、管理制度现代化、运行机制市场化、用人机制灵活的新型研发机构，支持其融合开展人工智能科学研究、技术创新和研发服务。</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w:t>
      </w:r>
      <w:r>
        <w:rPr>
          <w:rFonts w:ascii="黑体" w:hAnsi="黑体" w:eastAsia="黑体"/>
          <w:color w:val="000000" w:themeColor="text1"/>
          <w14:textFill>
            <w14:solidFill>
              <w14:schemeClr w14:val="tx1"/>
            </w14:solidFill>
          </w14:textFill>
        </w:rPr>
        <w:t>九</w:t>
      </w:r>
      <w:r>
        <w:rPr>
          <w:rFonts w:hint="eastAsia" w:ascii="黑体" w:hAnsi="黑体" w:eastAsia="黑体"/>
          <w:color w:val="000000" w:themeColor="text1"/>
          <w14:textFill>
            <w14:solidFill>
              <w14:schemeClr w14:val="tx1"/>
            </w14:solidFill>
          </w14:textFill>
        </w:rPr>
        <w:t>条【企业基础研究】</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鼓励企业面向长远发展和竞争力提升，前瞻部署人工智能基础研究，支持企业承担和参与国家重大基础科技项目并给予配套支持。</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ascii="Calibri" w:hAnsi="Calibri" w:eastAsia="黑体" w:cs="Times New Roman"/>
          <w:bCs/>
          <w:color w:val="000000" w:themeColor="text1"/>
          <w:szCs w:val="32"/>
          <w14:textFill>
            <w14:solidFill>
              <w14:schemeClr w14:val="tx1"/>
            </w14:solidFill>
          </w14:textFill>
        </w:rPr>
        <w:t>二十条</w:t>
      </w:r>
      <w:r>
        <w:rPr>
          <w:rFonts w:hint="eastAsia" w:ascii="Calibri" w:hAnsi="Calibri" w:eastAsia="黑体" w:cs="Times New Roman"/>
          <w:bCs/>
          <w:color w:val="000000" w:themeColor="text1"/>
          <w:szCs w:val="32"/>
          <w14:textFill>
            <w14:solidFill>
              <w14:schemeClr w14:val="tx1"/>
            </w14:solidFill>
          </w14:textFill>
        </w:rPr>
        <w:t xml:space="preserve">【项目组织模式创新】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支持企业与境内外高等院校、科研机构成立联合实验室、离岸实验室等创新联合体，创新组织模式，开展项目研发。</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 xml:space="preserve">第二十一条【多元化投入机制】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市、区人民政府应当加大科技创新财政投入，建立健全稳定和竞争相协调的投入机制，强化对符合人工智能产业发展方向高水平团队的稳定支持。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鼓励企业和社会力量以</w:t>
      </w:r>
      <w:r>
        <w:rPr>
          <w:rFonts w:hint="eastAsia" w:ascii="仿宋_GB2312" w:hAnsi="黑体"/>
          <w:color w:val="000000" w:themeColor="text1"/>
          <w14:textFill>
            <w14:solidFill>
              <w14:schemeClr w14:val="tx1"/>
            </w14:solidFill>
          </w14:textFill>
        </w:rPr>
        <w:t>设立基金</w:t>
      </w:r>
      <w:r>
        <w:rPr>
          <w:rFonts w:hint="eastAsia" w:asciiTheme="minorHAnsi" w:hAnsiTheme="minorHAnsi"/>
          <w:color w:val="000000" w:themeColor="text1"/>
          <w14:textFill>
            <w14:solidFill>
              <w14:schemeClr w14:val="tx1"/>
            </w14:solidFill>
          </w14:textFill>
        </w:rPr>
        <w:t>、联合资助、慈善捐赠等形式多渠道参与基础研究与技术开发投入。</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第二十</w:t>
      </w:r>
      <w:r>
        <w:rPr>
          <w:rFonts w:ascii="Calibri" w:hAnsi="Calibri" w:eastAsia="黑体" w:cs="Times New Roman"/>
          <w:bCs/>
          <w:color w:val="000000" w:themeColor="text1"/>
          <w:szCs w:val="32"/>
          <w14:textFill>
            <w14:solidFill>
              <w14:schemeClr w14:val="tx1"/>
            </w14:solidFill>
          </w14:textFill>
        </w:rPr>
        <w:t>二</w:t>
      </w:r>
      <w:r>
        <w:rPr>
          <w:rFonts w:hint="eastAsia" w:ascii="Calibri" w:hAnsi="Calibri" w:eastAsia="黑体" w:cs="Times New Roman"/>
          <w:bCs/>
          <w:color w:val="000000" w:themeColor="text1"/>
          <w:szCs w:val="32"/>
          <w14:textFill>
            <w14:solidFill>
              <w14:schemeClr w14:val="tx1"/>
            </w14:solidFill>
          </w14:textFill>
        </w:rPr>
        <w:t xml:space="preserve">条【科技资源开放共享】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鼓励高等院校、科研机构、企业和其他组织面向社会开放重大科研基础设施和大型科研仪器。</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Calibri" w:eastAsia="黑体"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发挥国际科技信息中心</w:t>
      </w:r>
      <w:r>
        <w:rPr>
          <w:rFonts w:hint="eastAsia" w:ascii="仿宋_GB2312" w:hAnsi="Calibri" w:cs="Times New Roman"/>
          <w:bCs/>
          <w:color w:val="000000" w:themeColor="text1"/>
          <w:szCs w:val="32"/>
          <w14:textFill>
            <w14:solidFill>
              <w14:schemeClr w14:val="tx1"/>
            </w14:solidFill>
          </w14:textFill>
        </w:rPr>
        <w:t>、国际创新产业信息服务平台和</w:t>
      </w:r>
      <w:r>
        <w:rPr>
          <w:rFonts w:hint="eastAsia" w:asciiTheme="minorHAnsi" w:hAnsiTheme="minorHAnsi"/>
          <w:color w:val="000000" w:themeColor="text1"/>
          <w14:textFill>
            <w14:solidFill>
              <w14:schemeClr w14:val="tx1"/>
            </w14:solidFill>
          </w14:textFill>
        </w:rPr>
        <w:t>大型科学仪器设施共享平台作用，完善开放共享的评价考核和激励机制。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第</w:t>
      </w:r>
      <w:r>
        <w:rPr>
          <w:rFonts w:ascii="黑体" w:hAnsi="黑体" w:eastAsia="黑体" w:cs="Times New Roman"/>
          <w:color w:val="000000" w:themeColor="text1"/>
          <w14:textFill>
            <w14:solidFill>
              <w14:schemeClr w14:val="tx1"/>
            </w14:solidFill>
          </w14:textFill>
        </w:rPr>
        <w:t>二十三</w:t>
      </w:r>
      <w:r>
        <w:rPr>
          <w:rFonts w:hint="eastAsia" w:ascii="黑体" w:hAnsi="黑体" w:eastAsia="黑体" w:cs="Times New Roman"/>
          <w:color w:val="000000" w:themeColor="text1"/>
          <w14:textFill>
            <w14:solidFill>
              <w14:schemeClr w14:val="tx1"/>
            </w14:solidFill>
          </w14:textFill>
        </w:rPr>
        <w:t>条</w:t>
      </w:r>
      <w:r>
        <w:rPr>
          <w:rFonts w:hint="eastAsia" w:ascii="黑体" w:hAnsi="黑体" w:eastAsia="黑体" w:cs="Times New Roman"/>
          <w:bCs/>
          <w:color w:val="000000" w:themeColor="text1"/>
          <w:szCs w:val="32"/>
          <w14:textFill>
            <w14:solidFill>
              <w14:schemeClr w14:val="tx1"/>
            </w14:solidFill>
          </w14:textFill>
        </w:rPr>
        <w:t>【项目</w:t>
      </w:r>
      <w:r>
        <w:rPr>
          <w:rFonts w:ascii="黑体" w:hAnsi="黑体" w:eastAsia="黑体" w:cs="Times New Roman"/>
          <w:bCs/>
          <w:color w:val="000000" w:themeColor="text1"/>
          <w:szCs w:val="32"/>
          <w14:textFill>
            <w14:solidFill>
              <w14:schemeClr w14:val="tx1"/>
            </w14:solidFill>
          </w14:textFill>
        </w:rPr>
        <w:t>管理</w:t>
      </w:r>
      <w:r>
        <w:rPr>
          <w:rFonts w:hint="eastAsia" w:ascii="黑体" w:hAnsi="黑体" w:eastAsia="黑体" w:cs="Times New Roman"/>
          <w:bCs/>
          <w:color w:val="000000" w:themeColor="text1"/>
          <w:szCs w:val="32"/>
          <w14:textFill>
            <w14:solidFill>
              <w14:schemeClr w14:val="tx1"/>
            </w14:solidFill>
          </w14:textFill>
        </w:rPr>
        <w:t>】</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市人民政府及其有关部门</w:t>
      </w:r>
      <w:r>
        <w:rPr>
          <w:rFonts w:ascii="仿宋_GB2312" w:hAnsi="Calibri" w:cs="Times New Roman"/>
          <w:bCs/>
          <w:color w:val="000000" w:themeColor="text1"/>
          <w:szCs w:val="32"/>
          <w14:textFill>
            <w14:solidFill>
              <w14:schemeClr w14:val="tx1"/>
            </w14:solidFill>
          </w14:textFill>
        </w:rPr>
        <w:t>应当</w:t>
      </w:r>
      <w:r>
        <w:rPr>
          <w:rFonts w:hint="eastAsia" w:ascii="仿宋_GB2312" w:hAnsi="Calibri" w:cs="Times New Roman"/>
          <w:bCs/>
          <w:color w:val="000000" w:themeColor="text1"/>
          <w:szCs w:val="32"/>
          <w14:textFill>
            <w14:solidFill>
              <w14:schemeClr w14:val="tx1"/>
            </w14:solidFill>
          </w14:textFill>
        </w:rPr>
        <w:t>创新人工智能研究项目管理实施方式，面向全社会公开征集科技创新成果，实施非周期性项目资助。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zCs w:val="32"/>
          <w14:textFill>
            <w14:solidFill>
              <w14:schemeClr w14:val="tx1"/>
            </w14:solidFill>
          </w14:textFill>
        </w:rPr>
      </w:pPr>
      <w:r>
        <w:rPr>
          <w:rFonts w:hint="eastAsia" w:asciiTheme="minorHAnsi" w:hAnsiTheme="minorHAnsi"/>
          <w:color w:val="000000" w:themeColor="text1"/>
          <w14:textFill>
            <w14:solidFill>
              <w14:schemeClr w14:val="tx1"/>
            </w14:solidFill>
          </w14:textFill>
        </w:rPr>
        <w:t>探索实行项目经理人或者经理机构管理模式，委托第三方专业机构或者专人负责项目管理工作，优化细化过程管理、强化阶段性审查、加强项目监督和绩效评价。</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pacing w:val="-6"/>
          <w:szCs w:val="32"/>
          <w14:textFill>
            <w14:solidFill>
              <w14:schemeClr w14:val="tx1"/>
            </w14:solidFill>
          </w14:textFill>
        </w:rPr>
      </w:pPr>
      <w:r>
        <w:rPr>
          <w:rFonts w:hint="eastAsia" w:ascii="仿宋_GB2312" w:hAnsi="Calibri" w:cs="Times New Roman"/>
          <w:bCs/>
          <w:color w:val="000000" w:themeColor="text1"/>
          <w:spacing w:val="-6"/>
          <w:szCs w:val="32"/>
          <w14:textFill>
            <w14:solidFill>
              <w14:schemeClr w14:val="tx1"/>
            </w14:solidFill>
          </w14:textFill>
        </w:rPr>
        <w:t>允许技术路线明显不同的多个牵头单位同时获得前期立项，在项目周期时间内定期开展考核，根据动态竞争结果给予资助，对实施效果良好、发展潜力大的项目可以追加支持。</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第二十四条【项目评价】</w:t>
      </w:r>
      <w:r>
        <w:rPr>
          <w:rFonts w:hint="eastAsia" w:ascii="仿宋_GB2312" w:hAnsiTheme="minorHAnsi"/>
          <w:color w:val="000000" w:themeColor="text1"/>
          <w14:textFill>
            <w14:solidFill>
              <w14:schemeClr w14:val="tx1"/>
            </w14:solidFill>
          </w14:textFill>
        </w:rPr>
        <w:t xml:space="preserve"> </w:t>
      </w:r>
      <w:r>
        <w:rPr>
          <w:rFonts w:ascii="仿宋_GB2312"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建立以质量、绩效、贡献为导向的项目评价制度，完善准确反映人工智能科技成果创新水平、转化应用绩效和对经济社会发展的实际贡献的项目评价机制。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color w:val="000000" w:themeColor="text1"/>
          <w14:textFill>
            <w14:solidFill>
              <w14:schemeClr w14:val="tx1"/>
            </w14:solidFill>
          </w14:textFill>
        </w:rPr>
      </w:pPr>
      <w:r>
        <w:rPr>
          <w:rFonts w:hint="eastAsia" w:ascii="仿宋_GB2312" w:hAnsiTheme="minorHAnsi"/>
          <w:color w:val="000000" w:themeColor="text1"/>
          <w14:textFill>
            <w14:solidFill>
              <w14:schemeClr w14:val="tx1"/>
            </w14:solidFill>
          </w14:textFill>
        </w:rPr>
        <w:t>建立健全符合人工智能科研活动规律的评价体系。完善自由探索型和任务导向型科技项目分类评价制度，建立非共识科技项目的评价机制。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二十五</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【科技成果转化】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市、区人民政府应当建立有利于促进科技成果转化的激励机制，推动各类创新主体开展科技成果转化合作。</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鼓励和支持人工智能领域国家科技重大专项和重点研发计划项目所取得的研究成果在深圳开展产业化应用研究，</w:t>
      </w:r>
      <w:r>
        <w:rPr>
          <w:rFonts w:hint="eastAsia" w:ascii="仿宋_GB2312" w:hAnsi="Calibri" w:cs="Times New Roman"/>
          <w:bCs/>
          <w:color w:val="000000" w:themeColor="text1"/>
          <w:szCs w:val="32"/>
          <w14:textFill>
            <w14:solidFill>
              <w14:schemeClr w14:val="tx1"/>
            </w14:solidFill>
          </w14:textFill>
        </w:rPr>
        <w:t>推动知识产权资本化。</w:t>
      </w:r>
      <w:r>
        <w:rPr>
          <w:rFonts w:hint="eastAsia" w:ascii="仿宋_GB2312" w:hAnsi="Calibri" w:cs="Times New Roman"/>
          <w:color w:val="000000" w:themeColor="text1"/>
          <w:szCs w:val="32"/>
          <w14:textFill>
            <w14:solidFill>
              <w14:schemeClr w14:val="tx1"/>
            </w14:solidFill>
          </w14:textFill>
        </w:rPr>
        <w:t>鼓励人工智能企业离岸创新成果在本市转化，在相关方面视同国内创新成果支持。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支持高等院校、科研机构的科研人员离岗创业、在岗创业或者到企业兼职从事人工智能领域科技成果转化。</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第二十</w:t>
      </w:r>
      <w:r>
        <w:rPr>
          <w:rFonts w:eastAsia="黑体" w:asciiTheme="minorHAnsi" w:hAnsiTheme="minorHAnsi"/>
          <w:bCs/>
          <w:color w:val="000000" w:themeColor="text1"/>
          <w:szCs w:val="32"/>
          <w14:textFill>
            <w14:solidFill>
              <w14:schemeClr w14:val="tx1"/>
            </w14:solidFill>
          </w14:textFill>
        </w:rPr>
        <w:t>六</w:t>
      </w:r>
      <w:r>
        <w:rPr>
          <w:rFonts w:hint="eastAsia" w:eastAsia="黑体" w:asciiTheme="minorHAnsi" w:hAnsiTheme="minorHAnsi"/>
          <w:bCs/>
          <w:color w:val="000000" w:themeColor="text1"/>
          <w:szCs w:val="32"/>
          <w14:textFill>
            <w14:solidFill>
              <w14:schemeClr w14:val="tx1"/>
            </w14:solidFill>
          </w14:textFill>
        </w:rPr>
        <w:t>条【科技成果转化机构】</w:t>
      </w:r>
      <w:r>
        <w:rPr>
          <w:rFonts w:hint="eastAsia" w:ascii="仿宋_GB2312" w:hAnsiTheme="minorHAnsi"/>
          <w:bCs/>
          <w:color w:val="000000" w:themeColor="text1"/>
          <w:szCs w:val="32"/>
          <w14:textFill>
            <w14:solidFill>
              <w14:schemeClr w14:val="tx1"/>
            </w14:solidFill>
          </w14:textFill>
        </w:rPr>
        <w:t xml:space="preserve"> </w:t>
      </w:r>
      <w:r>
        <w:rPr>
          <w:rFonts w:ascii="仿宋_GB2312"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支持和鼓励社会资本设立人工智能科技成果转化专业服务机构，提供交易代理、价值评估、人才培训、创业孵化</w:t>
      </w:r>
      <w:r>
        <w:rPr>
          <w:rFonts w:ascii="仿宋_GB2312" w:hAnsiTheme="minorHAnsi"/>
          <w:bCs/>
          <w:color w:val="000000" w:themeColor="text1"/>
          <w:szCs w:val="32"/>
          <w14:textFill>
            <w14:solidFill>
              <w14:schemeClr w14:val="tx1"/>
            </w14:solidFill>
          </w14:textFill>
        </w:rPr>
        <w:t>等</w:t>
      </w:r>
      <w:r>
        <w:rPr>
          <w:rFonts w:hint="eastAsia" w:ascii="仿宋_GB2312" w:hAnsiTheme="minorHAnsi"/>
          <w:bCs/>
          <w:color w:val="000000" w:themeColor="text1"/>
          <w:szCs w:val="32"/>
          <w14:textFill>
            <w14:solidFill>
              <w14:schemeClr w14:val="tx1"/>
            </w14:solidFill>
          </w14:textFill>
        </w:rPr>
        <w:t>全链条科技成果转化服务。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仿宋_GB2312" w:hAnsiTheme="minorHAnsi"/>
          <w:bCs/>
          <w:color w:val="000000" w:themeColor="text1"/>
          <w:szCs w:val="32"/>
          <w14:textFill>
            <w14:solidFill>
              <w14:schemeClr w14:val="tx1"/>
            </w14:solidFill>
          </w14:textFill>
        </w:rPr>
        <w:t>市、区人民政府及其有关部门应当遵循市场导向和政府引导相结合的原则，在平台建设、购买服务、人才培养等方面加强对人工智能科技成果转化专业服务机构的扶持。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第二十七条</w:t>
      </w:r>
      <w:r>
        <w:rPr>
          <w:rFonts w:hint="eastAsia" w:ascii="Calibri" w:hAnsi="Calibri" w:eastAsia="黑体" w:cs="Times New Roman"/>
          <w:bCs/>
          <w:color w:val="000000" w:themeColor="text1"/>
          <w:szCs w:val="32"/>
          <w14:textFill>
            <w14:solidFill>
              <w14:schemeClr w14:val="tx1"/>
            </w14:solidFill>
          </w14:textFill>
        </w:rPr>
        <w:t xml:space="preserve">【科技管理体制创新】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赋予人工智能创新团队和领军人才更大技术路线决定权和经费使用权。对承担重大科技攻关任务的科研人员，采取灵活的薪酬制度和奖励措施。探索赋予科研人员科技成果所有权</w:t>
      </w:r>
      <w:r>
        <w:rPr>
          <w:rFonts w:hint="eastAsia" w:ascii="仿宋_GB2312" w:hAnsi="黑体" w:cs="Times New Roman"/>
          <w:bCs/>
          <w:color w:val="000000" w:themeColor="text1"/>
          <w:szCs w:val="32"/>
          <w14:textFill>
            <w14:solidFill>
              <w14:schemeClr w14:val="tx1"/>
            </w14:solidFill>
          </w14:textFill>
        </w:rPr>
        <w:t>或者</w:t>
      </w:r>
      <w:r>
        <w:rPr>
          <w:rFonts w:hint="eastAsia" w:ascii="仿宋_GB2312" w:hAnsi="Calibri" w:cs="Times New Roman"/>
          <w:bCs/>
          <w:color w:val="000000" w:themeColor="text1"/>
          <w:szCs w:val="32"/>
          <w14:textFill>
            <w14:solidFill>
              <w14:schemeClr w14:val="tx1"/>
            </w14:solidFill>
          </w14:textFill>
        </w:rPr>
        <w:t>长期使用权。</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Calibri"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eastAsia="黑体" w:asciiTheme="majorHAnsi" w:hAnsiTheme="majorHAnsi" w:cstheme="majorBidi"/>
          <w:bCs/>
          <w:color w:val="000000" w:themeColor="text1"/>
          <w:szCs w:val="32"/>
          <w14:textFill>
            <w14:solidFill>
              <w14:schemeClr w14:val="tx1"/>
            </w14:solidFill>
          </w14:textFill>
        </w:rPr>
      </w:pPr>
      <w:r>
        <w:rPr>
          <w:rFonts w:eastAsia="黑体" w:asciiTheme="majorHAnsi" w:hAnsiTheme="majorHAnsi" w:cstheme="majorBidi"/>
          <w:bCs/>
          <w:color w:val="000000" w:themeColor="text1"/>
          <w:szCs w:val="32"/>
          <w14:textFill>
            <w14:solidFill>
              <w14:schemeClr w14:val="tx1"/>
            </w14:solidFill>
          </w14:textFill>
        </w:rPr>
        <w:t>第三章</w:t>
      </w:r>
      <w:r>
        <w:rPr>
          <w:rFonts w:hint="eastAsia" w:eastAsia="黑体" w:asciiTheme="majorHAnsi" w:hAnsiTheme="majorHAnsi" w:cstheme="majorBidi"/>
          <w:bCs/>
          <w:color w:val="000000" w:themeColor="text1"/>
          <w:szCs w:val="32"/>
          <w14:textFill>
            <w14:solidFill>
              <w14:schemeClr w14:val="tx1"/>
            </w14:solidFill>
          </w14:textFill>
        </w:rPr>
        <w:t xml:space="preserve"> </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产业基础设施建设</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黑体" w:hAnsi="黑体"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黑体"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第二十八条【基础设施建设】</w:t>
      </w:r>
      <w:r>
        <w:rPr>
          <w:rFonts w:ascii="黑体" w:hAnsi="黑体" w:eastAsia="黑体" w:cs="Times New Roman"/>
          <w:bCs/>
          <w:color w:val="000000" w:themeColor="text1"/>
          <w:szCs w:val="32"/>
          <w14:textFill>
            <w14:solidFill>
              <w14:schemeClr w14:val="tx1"/>
            </w14:solidFill>
          </w14:textFill>
        </w:rPr>
        <w:t xml:space="preserve">  </w:t>
      </w:r>
      <w:r>
        <w:rPr>
          <w:rFonts w:hint="eastAsia" w:ascii="仿宋_GB2312" w:hAnsi="黑体" w:cs="Times New Roman"/>
          <w:bCs/>
          <w:color w:val="000000" w:themeColor="text1"/>
          <w:szCs w:val="32"/>
          <w14:textFill>
            <w14:solidFill>
              <w14:schemeClr w14:val="tx1"/>
            </w14:solidFill>
          </w14:textFill>
        </w:rPr>
        <w:t>市人民政府及其有关部门应当加强以通信网络、数据中心、计算系统等为核心，建设人工智能发展所需要的基础资源保障和技术研发支撑的产业基础设施，为人工智能产业发展提供公共服务。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市、区人民政府及其有关部门应当优化网络基础设施建设协调机制，解决用电、用地、审批、入场等问题。</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eastAsia="黑体" w:hAnsiTheme="minorHAnsi"/>
          <w:bCs/>
          <w:color w:val="000000" w:themeColor="text1"/>
          <w:szCs w:val="32"/>
          <w14:textFill>
            <w14:solidFill>
              <w14:schemeClr w14:val="tx1"/>
            </w14:solidFill>
          </w14:textFill>
        </w:rPr>
        <w:t>第</w:t>
      </w:r>
      <w:r>
        <w:rPr>
          <w:rFonts w:hint="eastAsia" w:eastAsia="黑体" w:hAnsiTheme="minorHAnsi"/>
          <w:bCs/>
          <w:color w:val="000000" w:themeColor="text1"/>
          <w:szCs w:val="32"/>
          <w14:textFill>
            <w14:solidFill>
              <w14:schemeClr w14:val="tx1"/>
            </w14:solidFill>
          </w14:textFill>
        </w:rPr>
        <w:t>二十九</w:t>
      </w:r>
      <w:r>
        <w:rPr>
          <w:rFonts w:eastAsia="黑体" w:hAnsiTheme="minorHAnsi"/>
          <w:bCs/>
          <w:color w:val="000000" w:themeColor="text1"/>
          <w:szCs w:val="32"/>
          <w14:textFill>
            <w14:solidFill>
              <w14:schemeClr w14:val="tx1"/>
            </w14:solidFill>
          </w14:textFill>
        </w:rPr>
        <w:t>条</w:t>
      </w:r>
      <w:r>
        <w:rPr>
          <w:rFonts w:hint="eastAsia" w:eastAsia="黑体" w:hAnsiTheme="minorHAnsi"/>
          <w:bCs/>
          <w:color w:val="000000" w:themeColor="text1"/>
          <w:szCs w:val="32"/>
          <w14:textFill>
            <w14:solidFill>
              <w14:schemeClr w14:val="tx1"/>
            </w14:solidFill>
          </w14:textFill>
        </w:rPr>
        <w:t xml:space="preserve">【建设运营】 </w:t>
      </w:r>
      <w:r>
        <w:rPr>
          <w:rFonts w:eastAsia="黑体"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市人民政府及其有关部门</w:t>
      </w:r>
      <w:r>
        <w:rPr>
          <w:rFonts w:ascii="仿宋_GB2312" w:hAnsiTheme="minorHAnsi"/>
          <w:bCs/>
          <w:color w:val="000000" w:themeColor="text1"/>
          <w:szCs w:val="32"/>
          <w14:textFill>
            <w14:solidFill>
              <w14:schemeClr w14:val="tx1"/>
            </w14:solidFill>
          </w14:textFill>
        </w:rPr>
        <w:t>应当统筹规划</w:t>
      </w:r>
      <w:r>
        <w:rPr>
          <w:rFonts w:hint="eastAsia" w:ascii="仿宋_GB2312" w:hAnsiTheme="minorHAnsi"/>
          <w:bCs/>
          <w:color w:val="000000" w:themeColor="text1"/>
          <w:szCs w:val="32"/>
          <w14:textFill>
            <w14:solidFill>
              <w14:schemeClr w14:val="tx1"/>
            </w14:solidFill>
          </w14:textFill>
        </w:rPr>
        <w:t>产业</w:t>
      </w:r>
      <w:r>
        <w:rPr>
          <w:rFonts w:ascii="仿宋_GB2312" w:hAnsiTheme="minorHAnsi"/>
          <w:bCs/>
          <w:color w:val="000000" w:themeColor="text1"/>
          <w:szCs w:val="32"/>
          <w14:textFill>
            <w14:solidFill>
              <w14:schemeClr w14:val="tx1"/>
            </w14:solidFill>
          </w14:textFill>
        </w:rPr>
        <w:t>基础设施建设</w:t>
      </w:r>
      <w:r>
        <w:rPr>
          <w:rFonts w:hint="eastAsia" w:ascii="仿宋_GB2312" w:hAnsiTheme="minorHAnsi"/>
          <w:bCs/>
          <w:color w:val="000000" w:themeColor="text1"/>
          <w:szCs w:val="32"/>
          <w14:textFill>
            <w14:solidFill>
              <w14:schemeClr w14:val="tx1"/>
            </w14:solidFill>
          </w14:textFill>
        </w:rPr>
        <w:t>，</w:t>
      </w:r>
      <w:r>
        <w:rPr>
          <w:rFonts w:ascii="仿宋_GB2312" w:hAnsiTheme="minorHAnsi"/>
          <w:bCs/>
          <w:color w:val="000000" w:themeColor="text1"/>
          <w:szCs w:val="32"/>
          <w14:textFill>
            <w14:solidFill>
              <w14:schemeClr w14:val="tx1"/>
            </w14:solidFill>
          </w14:textFill>
        </w:rPr>
        <w:t>坚持政府引导</w:t>
      </w:r>
      <w:r>
        <w:rPr>
          <w:rFonts w:hint="eastAsia" w:ascii="仿宋_GB2312" w:hAnsiTheme="minorHAnsi"/>
          <w:bCs/>
          <w:color w:val="000000" w:themeColor="text1"/>
          <w:szCs w:val="32"/>
          <w14:textFill>
            <w14:solidFill>
              <w14:schemeClr w14:val="tx1"/>
            </w14:solidFill>
          </w14:textFill>
        </w:rPr>
        <w:t>、</w:t>
      </w:r>
      <w:r>
        <w:rPr>
          <w:rFonts w:ascii="仿宋_GB2312" w:hAnsiTheme="minorHAnsi"/>
          <w:bCs/>
          <w:color w:val="000000" w:themeColor="text1"/>
          <w:szCs w:val="32"/>
          <w14:textFill>
            <w14:solidFill>
              <w14:schemeClr w14:val="tx1"/>
            </w14:solidFill>
          </w14:textFill>
        </w:rPr>
        <w:t>市场为主体的建设运营机制</w:t>
      </w:r>
      <w:r>
        <w:rPr>
          <w:rFonts w:hint="eastAsia" w:ascii="仿宋_GB2312" w:hAnsiTheme="minorHAnsi"/>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bCs/>
          <w:color w:val="000000" w:themeColor="text1"/>
          <w:szCs w:val="32"/>
          <w14:textFill>
            <w14:solidFill>
              <w14:schemeClr w14:val="tx1"/>
            </w14:solidFill>
          </w14:textFill>
        </w:rPr>
      </w:pPr>
      <w:r>
        <w:rPr>
          <w:rFonts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14:textFill>
            <w14:solidFill>
              <w14:schemeClr w14:val="tx1"/>
            </w14:solidFill>
          </w14:textFill>
        </w:rPr>
        <w:t>三十</w:t>
      </w:r>
      <w:r>
        <w:rPr>
          <w:rFonts w:ascii="黑体" w:hAnsi="黑体" w:eastAsia="黑体" w:cs="Times New Roman"/>
          <w:bCs/>
          <w:color w:val="000000" w:themeColor="text1"/>
          <w:szCs w:val="32"/>
          <w14:textFill>
            <w14:solidFill>
              <w14:schemeClr w14:val="tx1"/>
            </w14:solidFill>
          </w14:textFill>
        </w:rPr>
        <w:t>条</w:t>
      </w:r>
      <w:r>
        <w:rPr>
          <w:rFonts w:hint="eastAsia" w:ascii="黑体" w:hAnsi="黑体" w:eastAsia="黑体" w:cs="Times New Roman"/>
          <w:bCs/>
          <w:color w:val="000000" w:themeColor="text1"/>
          <w:szCs w:val="32"/>
          <w14:textFill>
            <w14:solidFill>
              <w14:schemeClr w14:val="tx1"/>
            </w14:solidFill>
          </w14:textFill>
        </w:rPr>
        <w:t>【数据中心】</w:t>
      </w:r>
      <w:r>
        <w:rPr>
          <w:rFonts w:ascii="仿宋_GB2312" w:cs="Times New Roman"/>
          <w:bCs/>
          <w:color w:val="000000" w:themeColor="text1"/>
          <w:szCs w:val="32"/>
          <w14:textFill>
            <w14:solidFill>
              <w14:schemeClr w14:val="tx1"/>
            </w14:solidFill>
          </w14:textFill>
        </w:rPr>
        <w:t xml:space="preserve">  </w:t>
      </w:r>
      <w:r>
        <w:rPr>
          <w:rFonts w:hint="eastAsia" w:ascii="仿宋_GB2312" w:cs="Times New Roman"/>
          <w:bCs/>
          <w:color w:val="000000" w:themeColor="text1"/>
          <w:szCs w:val="32"/>
          <w14:textFill>
            <w14:solidFill>
              <w14:schemeClr w14:val="tx1"/>
            </w14:solidFill>
          </w14:textFill>
        </w:rPr>
        <w:t>市人民政府及其有关部门应当完善数据中心运行评估评价体系，探索提升数据中心能效标准，搭建支撑人工智能发展的绿色数据中心。</w:t>
      </w:r>
    </w:p>
    <w:p>
      <w:pPr>
        <w:keepNext w:val="0"/>
        <w:keepLines w:val="0"/>
        <w:pageBreakBefore w:val="0"/>
        <w:widowControl w:val="0"/>
        <w:kinsoku/>
        <w:wordWrap/>
        <w:overflowPunct w:val="0"/>
        <w:topLinePunct w:val="0"/>
        <w:autoSpaceDE/>
        <w:autoSpaceDN/>
        <w:bidi w:val="0"/>
        <w:adjustRightInd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 xml:space="preserve">第三十一条【公共数据资源体系】  </w:t>
      </w:r>
      <w:r>
        <w:rPr>
          <w:rFonts w:hint="eastAsia" w:ascii="仿宋_GB2312" w:hAnsiTheme="minorHAnsi"/>
          <w:bCs/>
          <w:color w:val="000000" w:themeColor="text1"/>
          <w:szCs w:val="32"/>
          <w14:textFill>
            <w14:solidFill>
              <w14:schemeClr w14:val="tx1"/>
            </w14:solidFill>
          </w14:textFill>
        </w:rPr>
        <w:t>市人民政府及其有关部门应当按照公共数据资源体系整体规划和相关制度规范要求，构建人工智能产业公共数据资源体系。</w:t>
      </w:r>
    </w:p>
    <w:p>
      <w:pPr>
        <w:keepNext w:val="0"/>
        <w:keepLines w:val="0"/>
        <w:pageBreakBefore w:val="0"/>
        <w:widowControl w:val="0"/>
        <w:kinsoku/>
        <w:wordWrap/>
        <w:overflowPunct w:val="0"/>
        <w:topLinePunct w:val="0"/>
        <w:autoSpaceDE/>
        <w:autoSpaceDN/>
        <w:bidi w:val="0"/>
        <w:adjustRightInd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w:t>
      </w:r>
      <w:r>
        <w:rPr>
          <w:rFonts w:ascii="黑体" w:hAnsi="黑体" w:eastAsia="黑体" w:cs="Times New Roman"/>
          <w:color w:val="000000" w:themeColor="text1"/>
          <w:szCs w:val="32"/>
          <w14:textFill>
            <w14:solidFill>
              <w14:schemeClr w14:val="tx1"/>
            </w14:solidFill>
          </w14:textFill>
        </w:rPr>
        <w:t>三十二</w:t>
      </w:r>
      <w:r>
        <w:rPr>
          <w:rFonts w:hint="eastAsia" w:ascii="黑体" w:hAnsi="黑体" w:eastAsia="黑体" w:cs="Times New Roman"/>
          <w:color w:val="000000" w:themeColor="text1"/>
          <w:szCs w:val="32"/>
          <w14:textFill>
            <w14:solidFill>
              <w14:schemeClr w14:val="tx1"/>
            </w14:solidFill>
          </w14:textFill>
        </w:rPr>
        <w:t xml:space="preserve">条【数据标准】  </w:t>
      </w:r>
      <w:r>
        <w:rPr>
          <w:rFonts w:hint="eastAsia" w:ascii="仿宋_GB2312" w:hAnsiTheme="minorHAnsi"/>
          <w:bCs/>
          <w:color w:val="000000" w:themeColor="text1"/>
          <w:szCs w:val="32"/>
          <w14:textFill>
            <w14:solidFill>
              <w14:schemeClr w14:val="tx1"/>
            </w14:solidFill>
          </w14:textFill>
        </w:rPr>
        <w:t>市标准化管理部门应当会同有关部门制定人工智能应用领域的公共数据和行业数据标准体系，实现标准统一、数据互通。</w:t>
      </w:r>
    </w:p>
    <w:p>
      <w:pPr>
        <w:keepNext w:val="0"/>
        <w:keepLines w:val="0"/>
        <w:pageBreakBefore w:val="0"/>
        <w:widowControl w:val="0"/>
        <w:kinsoku/>
        <w:wordWrap/>
        <w:overflowPunct w:val="0"/>
        <w:topLinePunct w:val="0"/>
        <w:autoSpaceDE/>
        <w:autoSpaceDN/>
        <w:bidi w:val="0"/>
        <w:adjustRightInd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 xml:space="preserve">第三十三条【数据开放】  </w:t>
      </w:r>
      <w:r>
        <w:rPr>
          <w:rFonts w:hint="eastAsia" w:ascii="仿宋_GB2312" w:hAnsi="黑体" w:cs="Times New Roman"/>
          <w:color w:val="000000" w:themeColor="text1"/>
          <w:szCs w:val="32"/>
          <w14:textFill>
            <w14:solidFill>
              <w14:schemeClr w14:val="tx1"/>
            </w14:solidFill>
          </w14:textFill>
        </w:rPr>
        <w:t>市人民政府及其有关部门</w:t>
      </w:r>
      <w:r>
        <w:rPr>
          <w:rFonts w:hint="eastAsia" w:ascii="仿宋_GB2312" w:hAnsiTheme="minorHAnsi"/>
          <w:bCs/>
          <w:color w:val="000000" w:themeColor="text1"/>
          <w:szCs w:val="32"/>
          <w14:textFill>
            <w14:solidFill>
              <w14:schemeClr w14:val="tx1"/>
            </w14:solidFill>
          </w14:textFill>
        </w:rPr>
        <w:t>应当建设人工智能在民生服务、社会治理、经济发展等应用领域的公共数据开放平台，建立人工智能应用领域的公共数据开放清单和调整机制，推动公共数据分类分级有序开放。</w:t>
      </w:r>
    </w:p>
    <w:p>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outlineLvl w:val="9"/>
        <w:rPr>
          <w:rFonts w:ascii="仿宋_GB2312" w:hAnsiTheme="minorHAnsi"/>
          <w:bCs/>
          <w:color w:val="000000" w:themeColor="text1"/>
          <w:szCs w:val="32"/>
          <w14:textFill>
            <w14:solidFill>
              <w14:schemeClr w14:val="tx1"/>
            </w14:solidFill>
          </w14:textFill>
        </w:rPr>
      </w:pPr>
      <w:r>
        <w:rPr>
          <w:rFonts w:hint="eastAsia" w:ascii="仿宋_GB2312" w:hAnsiTheme="minorHAnsi"/>
          <w:bCs/>
          <w:color w:val="000000" w:themeColor="text1"/>
          <w:szCs w:val="32"/>
          <w14:textFill>
            <w14:solidFill>
              <w14:schemeClr w14:val="tx1"/>
            </w14:solidFill>
          </w14:textFill>
        </w:rPr>
        <w:t>超出公共数据开放清单范围的，从事人工智能研究和应用的组织和个人可以依照相关规定向数据主管部门申请数据开放。数据主管部门应当在安全可控的前提下，在法律法规允许范围内最大限度开放相关数据。</w:t>
      </w:r>
    </w:p>
    <w:p>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outlineLvl w:val="9"/>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第三十</w:t>
      </w:r>
      <w:r>
        <w:rPr>
          <w:rFonts w:ascii="黑体" w:hAnsi="黑体" w:eastAsia="黑体" w:cs="Times New Roman"/>
          <w:color w:val="000000" w:themeColor="text1"/>
          <w:szCs w:val="32"/>
          <w14:textFill>
            <w14:solidFill>
              <w14:schemeClr w14:val="tx1"/>
            </w14:solidFill>
          </w14:textFill>
        </w:rPr>
        <w:t>四</w:t>
      </w:r>
      <w:r>
        <w:rPr>
          <w:rFonts w:hint="eastAsia" w:ascii="黑体" w:hAnsi="黑体" w:eastAsia="黑体" w:cs="Times New Roman"/>
          <w:color w:val="000000" w:themeColor="text1"/>
          <w:szCs w:val="32"/>
          <w14:textFill>
            <w14:solidFill>
              <w14:schemeClr w14:val="tx1"/>
            </w14:solidFill>
          </w14:textFill>
        </w:rPr>
        <w:t>条【数据开发利用】</w:t>
      </w:r>
      <w:r>
        <w:rPr>
          <w:rFonts w:ascii="黑体" w:hAnsi="黑体" w:eastAsia="黑体" w:cs="Times New Roman"/>
          <w:color w:val="000000" w:themeColor="text1"/>
          <w:szCs w:val="32"/>
          <w14:textFill>
            <w14:solidFill>
              <w14:schemeClr w14:val="tx1"/>
            </w14:solidFill>
          </w14:textFill>
        </w:rPr>
        <w:t xml:space="preserve"> </w:t>
      </w:r>
      <w:r>
        <w:rPr>
          <w:rFonts w:ascii="仿宋_GB2312" w:hAnsiTheme="minorHAnsi"/>
          <w:color w:val="000000" w:themeColor="text1"/>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鼓励从事人工智能研究和应用的组织和个人依托公共数据开放平台，开发人工智能产品和服务，推动公共数据在人工智能场景的创新应用。</w:t>
      </w:r>
    </w:p>
    <w:p>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outlineLvl w:val="9"/>
        <w:rPr>
          <w:rFonts w:ascii="仿宋_GB2312"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第三十</w:t>
      </w:r>
      <w:r>
        <w:rPr>
          <w:rFonts w:ascii="黑体" w:hAnsi="黑体" w:eastAsia="黑体" w:cs="Times New Roman"/>
          <w:color w:val="000000" w:themeColor="text1"/>
          <w:szCs w:val="32"/>
          <w14:textFill>
            <w14:solidFill>
              <w14:schemeClr w14:val="tx1"/>
            </w14:solidFill>
          </w14:textFill>
        </w:rPr>
        <w:t>五</w:t>
      </w:r>
      <w:r>
        <w:rPr>
          <w:rFonts w:hint="eastAsia" w:ascii="黑体" w:hAnsi="黑体" w:eastAsia="黑体" w:cs="Times New Roman"/>
          <w:color w:val="000000" w:themeColor="text1"/>
          <w:szCs w:val="32"/>
          <w14:textFill>
            <w14:solidFill>
              <w14:schemeClr w14:val="tx1"/>
            </w14:solidFill>
          </w14:textFill>
        </w:rPr>
        <w:t>条【数据流通】</w:t>
      </w:r>
      <w:r>
        <w:rPr>
          <w:rFonts w:ascii="仿宋_GB2312" w:cs="Times New Roman"/>
          <w:color w:val="000000" w:themeColor="text1"/>
          <w:szCs w:val="32"/>
          <w14:textFill>
            <w14:solidFill>
              <w14:schemeClr w14:val="tx1"/>
            </w14:solidFill>
          </w14:textFill>
        </w:rPr>
        <w:t xml:space="preserve">  </w:t>
      </w:r>
      <w:r>
        <w:rPr>
          <w:rFonts w:hint="eastAsia" w:ascii="仿宋_GB2312" w:cs="Times New Roman"/>
          <w:color w:val="000000" w:themeColor="text1"/>
          <w:szCs w:val="32"/>
          <w14:textFill>
            <w14:solidFill>
              <w14:schemeClr w14:val="tx1"/>
            </w14:solidFill>
          </w14:textFill>
        </w:rPr>
        <w:t>推动人工智能领域数据的流通利用。从事人工智能研究和应用的组织和个人</w:t>
      </w:r>
      <w:r>
        <w:rPr>
          <w:rFonts w:hint="eastAsia" w:ascii="仿宋_GB2312" w:hAnsi="黑体" w:cs="Times New Roman"/>
          <w:color w:val="000000" w:themeColor="text1"/>
          <w:szCs w:val="32"/>
          <w14:textFill>
            <w14:solidFill>
              <w14:schemeClr w14:val="tx1"/>
            </w14:solidFill>
          </w14:textFill>
        </w:rPr>
        <w:t>对外</w:t>
      </w:r>
      <w:r>
        <w:rPr>
          <w:rFonts w:hint="eastAsia" w:ascii="仿宋_GB2312" w:cs="Times New Roman"/>
          <w:color w:val="000000" w:themeColor="text1"/>
          <w:szCs w:val="32"/>
          <w14:textFill>
            <w14:solidFill>
              <w14:schemeClr w14:val="tx1"/>
            </w14:solidFill>
          </w14:textFill>
        </w:rPr>
        <w:t>提供其依法获取的个人数据的，应当进行匿名化或者去标识化等处理。</w:t>
      </w:r>
    </w:p>
    <w:p>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outlineLvl w:val="9"/>
        <w:rPr>
          <w:rFonts w:ascii="仿宋_GB2312"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 xml:space="preserve">第三十六条【数据跨境】 </w:t>
      </w:r>
      <w:r>
        <w:rPr>
          <w:rFonts w:ascii="黑体" w:hAnsi="黑体" w:eastAsia="黑体" w:cs="Times New Roman"/>
          <w:color w:val="000000" w:themeColor="text1"/>
          <w:szCs w:val="32"/>
          <w14:textFill>
            <w14:solidFill>
              <w14:schemeClr w14:val="tx1"/>
            </w14:solidFill>
          </w14:textFill>
        </w:rPr>
        <w:t xml:space="preserve"> </w:t>
      </w:r>
      <w:r>
        <w:rPr>
          <w:rFonts w:hint="eastAsia" w:ascii="仿宋_GB2312" w:hAnsi="黑体" w:cs="Times New Roman"/>
          <w:color w:val="000000" w:themeColor="text1"/>
          <w:szCs w:val="32"/>
          <w14:textFill>
            <w14:solidFill>
              <w14:schemeClr w14:val="tx1"/>
            </w14:solidFill>
          </w14:textFill>
        </w:rPr>
        <w:t>探索</w:t>
      </w:r>
      <w:r>
        <w:rPr>
          <w:rFonts w:hint="eastAsia" w:ascii="仿宋_GB2312" w:hAnsiTheme="minorHAnsi"/>
          <w:bCs/>
          <w:color w:val="000000" w:themeColor="text1"/>
          <w:szCs w:val="32"/>
          <w14:textFill>
            <w14:solidFill>
              <w14:schemeClr w14:val="tx1"/>
            </w14:solidFill>
          </w14:textFill>
        </w:rPr>
        <w:t>通过跨境流通实验平台、</w:t>
      </w:r>
      <w:r>
        <w:rPr>
          <w:rFonts w:hint="eastAsia" w:ascii="仿宋_GB2312" w:hAnsi="黑体"/>
          <w:bCs/>
          <w:color w:val="000000" w:themeColor="text1"/>
          <w:szCs w:val="32"/>
          <w14:textFill>
            <w14:solidFill>
              <w14:schemeClr w14:val="tx1"/>
            </w14:solidFill>
          </w14:textFill>
        </w:rPr>
        <w:t>沙盒技术</w:t>
      </w:r>
      <w:r>
        <w:rPr>
          <w:rFonts w:hint="eastAsia" w:ascii="仿宋_GB2312" w:hAnsiTheme="minorHAnsi"/>
          <w:bCs/>
          <w:color w:val="000000" w:themeColor="text1"/>
          <w:szCs w:val="32"/>
          <w14:textFill>
            <w14:solidFill>
              <w14:schemeClr w14:val="tx1"/>
            </w14:solidFill>
          </w14:textFill>
        </w:rPr>
        <w:t>等方式开展深港、深澳跨境人工智能领域数据流通，建立健全跨境数据流通管理制度和标准规范。</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9"/>
        <w:rPr>
          <w:rFonts w:asciiTheme="minorHAnsi" w:hAnsiTheme="minorHAnsi"/>
          <w:color w:val="000000" w:themeColor="text1"/>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第三十</w:t>
      </w:r>
      <w:r>
        <w:rPr>
          <w:rFonts w:eastAsia="黑体" w:asciiTheme="minorHAnsi" w:hAnsiTheme="minorHAnsi"/>
          <w:color w:val="000000" w:themeColor="text1"/>
          <w:szCs w:val="32"/>
          <w14:textFill>
            <w14:solidFill>
              <w14:schemeClr w14:val="tx1"/>
            </w14:solidFill>
          </w14:textFill>
        </w:rPr>
        <w:t>七</w:t>
      </w:r>
      <w:r>
        <w:rPr>
          <w:rFonts w:hint="eastAsia" w:eastAsia="黑体" w:asciiTheme="minorHAnsi" w:hAnsiTheme="minorHAnsi"/>
          <w:color w:val="000000" w:themeColor="text1"/>
          <w:szCs w:val="32"/>
          <w14:textFill>
            <w14:solidFill>
              <w14:schemeClr w14:val="tx1"/>
            </w14:solidFill>
          </w14:textFill>
        </w:rPr>
        <w:t>条【算力开放平台建设】</w:t>
      </w:r>
      <w:r>
        <w:rPr>
          <w:rFonts w:eastAsia="黑体" w:asciiTheme="minorHAnsi" w:hAnsiTheme="minorHAnsi"/>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鼓励和支持高等院校、科研机构、企业和其他组织建设人工智能算力基础设施，面向人工智能应用场景开发需求开放算力资源。</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9"/>
        <w:rPr>
          <w:rFonts w:cs="Times New Roman" w:asciiTheme="minorHAnsi" w:hAnsiTheme="minorHAnsi"/>
          <w:color w:val="000000" w:themeColor="text1"/>
          <w14:textFill>
            <w14:solidFill>
              <w14:schemeClr w14:val="tx1"/>
            </w14:solidFill>
          </w14:textFill>
        </w:rPr>
      </w:pPr>
      <w:r>
        <w:rPr>
          <w:rFonts w:hint="eastAsia" w:ascii="黑体" w:eastAsia="黑体" w:hAnsiTheme="minorHAnsi"/>
          <w:color w:val="000000" w:themeColor="text1"/>
          <w14:textFill>
            <w14:solidFill>
              <w14:schemeClr w14:val="tx1"/>
            </w14:solidFill>
          </w14:textFill>
        </w:rPr>
        <w:t>第三十八条【算法开源平台建设】</w:t>
      </w:r>
      <w:r>
        <w:rPr>
          <w:rFonts w:ascii="黑体" w:eastAsia="黑体" w:hAnsiTheme="minorHAnsi"/>
          <w:color w:val="000000" w:themeColor="text1"/>
          <w14:textFill>
            <w14:solidFill>
              <w14:schemeClr w14:val="tx1"/>
            </w14:solidFill>
          </w14:textFill>
        </w:rPr>
        <w:t xml:space="preserve">  </w:t>
      </w:r>
      <w:r>
        <w:rPr>
          <w:rFonts w:hint="eastAsia" w:cs="Times New Roman" w:asciiTheme="minorHAnsi" w:hAnsiTheme="minorHAnsi"/>
          <w:color w:val="000000" w:themeColor="text1"/>
          <w14:textFill>
            <w14:solidFill>
              <w14:schemeClr w14:val="tx1"/>
            </w14:solidFill>
          </w14:textFill>
        </w:rPr>
        <w:t>鼓励和支持高等院校、科研机构、企业和其他组织建设人工智能算法开源平台，</w:t>
      </w:r>
      <w:r>
        <w:rPr>
          <w:rFonts w:hint="eastAsia" w:asciiTheme="minorHAnsi" w:hAnsiTheme="minorHAnsi"/>
          <w:color w:val="000000" w:themeColor="text1"/>
          <w14:textFill>
            <w14:solidFill>
              <w14:schemeClr w14:val="tx1"/>
            </w14:solidFill>
          </w14:textFill>
        </w:rPr>
        <w:t>降低企业开发成本，缩短开发周期</w:t>
      </w:r>
      <w:r>
        <w:rPr>
          <w:rFonts w:hint="eastAsia" w:cs="Times New Roman" w:asciiTheme="minorHAnsi" w:hAnsiTheme="minorHAnsi"/>
          <w:color w:val="000000" w:themeColor="text1"/>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9"/>
        <w:rPr>
          <w:rFonts w:ascii="黑体" w:eastAsia="黑体" w:hAnsiTheme="minorHAnsi"/>
          <w:color w:val="000000" w:themeColor="text1"/>
          <w14:textFill>
            <w14:solidFill>
              <w14:schemeClr w14:val="tx1"/>
            </w14:solidFill>
          </w14:textFill>
        </w:rPr>
      </w:pPr>
      <w:r>
        <w:rPr>
          <w:rFonts w:hint="eastAsia" w:cs="Times New Roman" w:asciiTheme="minorHAnsi" w:hAnsiTheme="minorHAnsi"/>
          <w:color w:val="000000" w:themeColor="text1"/>
          <w14:textFill>
            <w14:solidFill>
              <w14:schemeClr w14:val="tx1"/>
            </w14:solidFill>
          </w14:textFill>
        </w:rPr>
        <w:t>鼓励和支持高等院校、科研机构、企业和其他组织建设人工智能开源社区，与</w:t>
      </w:r>
      <w:r>
        <w:rPr>
          <w:rFonts w:cs="Times New Roman" w:asciiTheme="minorHAnsi" w:hAnsiTheme="minorHAnsi"/>
          <w:color w:val="000000" w:themeColor="text1"/>
          <w14:textFill>
            <w14:solidFill>
              <w14:schemeClr w14:val="tx1"/>
            </w14:solidFill>
          </w14:textFill>
        </w:rPr>
        <w:t>境</w:t>
      </w:r>
      <w:r>
        <w:rPr>
          <w:rFonts w:hint="eastAsia" w:cs="Times New Roman" w:asciiTheme="minorHAnsi" w:hAnsiTheme="minorHAnsi"/>
          <w:color w:val="000000" w:themeColor="text1"/>
          <w14:textFill>
            <w14:solidFill>
              <w14:schemeClr w14:val="tx1"/>
            </w14:solidFill>
          </w14:textFill>
        </w:rPr>
        <w:t>外知名开源社区互联互通，培育共享协作的开源治理生态。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w:t>
      </w:r>
      <w:r>
        <w:rPr>
          <w:rFonts w:ascii="黑体" w:hAnsi="黑体" w:eastAsia="黑体"/>
          <w:color w:val="000000" w:themeColor="text1"/>
          <w14:textFill>
            <w14:solidFill>
              <w14:schemeClr w14:val="tx1"/>
            </w14:solidFill>
          </w14:textFill>
        </w:rPr>
        <w:t>九</w:t>
      </w:r>
      <w:r>
        <w:rPr>
          <w:rFonts w:hint="eastAsia" w:ascii="黑体" w:hAnsi="黑体" w:eastAsia="黑体"/>
          <w:color w:val="000000" w:themeColor="text1"/>
          <w14:textFill>
            <w14:solidFill>
              <w14:schemeClr w14:val="tx1"/>
            </w14:solidFill>
          </w14:textFill>
        </w:rPr>
        <w:t>条【行业开放创新平台建设】</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鼓励和支持</w:t>
      </w:r>
      <w:r>
        <w:rPr>
          <w:rFonts w:hint="eastAsia" w:cs="Times New Roman" w:asciiTheme="minorHAnsi" w:hAnsiTheme="minorHAnsi"/>
          <w:color w:val="000000" w:themeColor="text1"/>
          <w14:textFill>
            <w14:solidFill>
              <w14:schemeClr w14:val="tx1"/>
            </w14:solidFill>
          </w14:textFill>
        </w:rPr>
        <w:t>高等院校、科研机构、企业和其他组织</w:t>
      </w:r>
      <w:r>
        <w:rPr>
          <w:rFonts w:hint="eastAsia" w:ascii="仿宋_GB2312" w:hAnsiTheme="minorHAnsi"/>
          <w:color w:val="000000" w:themeColor="text1"/>
          <w14:textFill>
            <w14:solidFill>
              <w14:schemeClr w14:val="tx1"/>
            </w14:solidFill>
          </w14:textFill>
        </w:rPr>
        <w:t>面向细分行业场景，建设人工智能开放创新平台，向行业上下游企业开放人工智能关键共性技术。</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第四十条【检测及认证平台建设】</w:t>
      </w:r>
      <w:r>
        <w:rPr>
          <w:rFonts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市人民政府及其有关部门应当推动人工智能测试检测以及认证平台建设，提供功能测试、安全性测试、可靠性评估、伦理安全风险评估等服务，</w:t>
      </w:r>
      <w:r>
        <w:rPr>
          <w:rFonts w:hint="eastAsia" w:ascii="仿宋_GB2312" w:hAnsiTheme="minorHAnsi"/>
          <w:bCs/>
          <w:color w:val="000000" w:themeColor="text1"/>
          <w:szCs w:val="32"/>
          <w14:textFill>
            <w14:solidFill>
              <w14:schemeClr w14:val="tx1"/>
            </w14:solidFill>
          </w14:textFill>
        </w:rPr>
        <w:t>推动检测标准与国家、国际标准互认互通。</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第四章</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应用场景拓展</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eastAsia="黑体" w:asciiTheme="minorHAnsi" w:hAnsiTheme="minorHAns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第四十一条【人工智能应用发展重点】</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市、区人民政府应当推进人工智能在民生服务、社会治理、经济发展等领域的融合应用，支持人工智能新技术、新产品、新模式的应用推广。</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黑体" w:hAnsi="黑体" w:eastAsia="黑体"/>
          <w:bCs/>
          <w:color w:val="000000" w:themeColor="text1"/>
          <w:szCs w:val="32"/>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第四十</w:t>
      </w:r>
      <w:r>
        <w:rPr>
          <w:rFonts w:ascii="黑体" w:hAnsi="黑体" w:eastAsia="黑体"/>
          <w:bCs/>
          <w:color w:val="000000" w:themeColor="text1"/>
          <w:szCs w:val="32"/>
          <w14:textFill>
            <w14:solidFill>
              <w14:schemeClr w14:val="tx1"/>
            </w14:solidFill>
          </w14:textFill>
        </w:rPr>
        <w:t>二</w:t>
      </w:r>
      <w:r>
        <w:rPr>
          <w:rFonts w:hint="eastAsia" w:ascii="黑体" w:hAnsi="黑体" w:eastAsia="黑体"/>
          <w:bCs/>
          <w:color w:val="000000" w:themeColor="text1"/>
          <w:szCs w:val="32"/>
          <w14:textFill>
            <w14:solidFill>
              <w14:schemeClr w14:val="tx1"/>
            </w14:solidFill>
          </w14:textFill>
        </w:rPr>
        <w:t>条【应用示范】</w:t>
      </w:r>
      <w:r>
        <w:rPr>
          <w:rFonts w:ascii="仿宋_GB2312" w:eastAsia="黑体"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本市国家机关、事业单位、国有企业以及其他履行公共管理和服务职能的组织应当率先使用人工智能产品和服务，推动社会管理数字化、智能化。</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第四十</w:t>
      </w:r>
      <w:r>
        <w:rPr>
          <w:rFonts w:ascii="黑体" w:hAnsi="黑体" w:eastAsia="黑体"/>
          <w:bCs/>
          <w:color w:val="000000" w:themeColor="text1"/>
          <w:szCs w:val="32"/>
          <w14:textFill>
            <w14:solidFill>
              <w14:schemeClr w14:val="tx1"/>
            </w14:solidFill>
          </w14:textFill>
        </w:rPr>
        <w:t>三</w:t>
      </w:r>
      <w:r>
        <w:rPr>
          <w:rFonts w:hint="eastAsia" w:ascii="黑体" w:hAnsi="黑体" w:eastAsia="黑体"/>
          <w:bCs/>
          <w:color w:val="000000" w:themeColor="text1"/>
          <w:szCs w:val="32"/>
          <w14:textFill>
            <w14:solidFill>
              <w14:schemeClr w14:val="tx1"/>
            </w14:solidFill>
          </w14:textFill>
        </w:rPr>
        <w:t>条【民生服务】</w:t>
      </w:r>
      <w:r>
        <w:rPr>
          <w:rFonts w:hint="eastAsia" w:ascii="仿宋_GB2312" w:hAnsiTheme="minorHAnsi"/>
          <w:bCs/>
          <w:color w:val="000000" w:themeColor="text1"/>
          <w:szCs w:val="32"/>
          <w14:textFill>
            <w14:solidFill>
              <w14:schemeClr w14:val="tx1"/>
            </w14:solidFill>
          </w14:textFill>
        </w:rPr>
        <w:t xml:space="preserve">  支持人工智能技术在医疗、教育、就业、养老、文化、住房保障等民生服务领域的创新应用，推动公共资源向基层延伸，构建优质、均衡、智能的民生服务体系。</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第四十</w:t>
      </w:r>
      <w:r>
        <w:rPr>
          <w:rFonts w:eastAsia="黑体" w:asciiTheme="minorHAnsi" w:hAnsiTheme="minorHAnsi"/>
          <w:bCs/>
          <w:color w:val="000000" w:themeColor="text1"/>
          <w:szCs w:val="32"/>
          <w14:textFill>
            <w14:solidFill>
              <w14:schemeClr w14:val="tx1"/>
            </w14:solidFill>
          </w14:textFill>
        </w:rPr>
        <w:t>四</w:t>
      </w:r>
      <w:r>
        <w:rPr>
          <w:rFonts w:hint="eastAsia" w:eastAsia="黑体" w:asciiTheme="minorHAnsi" w:hAnsiTheme="minorHAnsi"/>
          <w:bCs/>
          <w:color w:val="000000" w:themeColor="text1"/>
          <w:szCs w:val="32"/>
          <w14:textFill>
            <w14:solidFill>
              <w14:schemeClr w14:val="tx1"/>
            </w14:solidFill>
          </w14:textFill>
        </w:rPr>
        <w:t>条【社会治理】</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加快人工智能技术在科技创新、金融风险、国有资产、规划投资、财政、税收、审计、统计等领域的融合应用，为本市制定经济政策、监控经济运行状态提供依据。</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市场监管部门应当利用人工智能技术建立健全以信用为基础的新型监管模式，提升市场综合监管和治理能力。</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推动人工智能技术与社会管理的融合应用，提升基层社会治理、法律服务、社会治安防控、应急救援、节能减排等领域的智能化水平。</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加强人工智能技术在自然资源、生态环境、水利等各领域的应用，提升对生态风险的防范和治理能力。</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w:t>
      </w:r>
      <w:r>
        <w:rPr>
          <w:rFonts w:ascii="黑体" w:hAnsi="黑体" w:eastAsia="黑体"/>
          <w:color w:val="000000" w:themeColor="text1"/>
          <w14:textFill>
            <w14:solidFill>
              <w14:schemeClr w14:val="tx1"/>
            </w14:solidFill>
          </w14:textFill>
        </w:rPr>
        <w:t>五</w:t>
      </w:r>
      <w:r>
        <w:rPr>
          <w:rFonts w:hint="eastAsia" w:ascii="黑体" w:hAnsi="黑体" w:eastAsia="黑体"/>
          <w:color w:val="000000" w:themeColor="text1"/>
          <w14:textFill>
            <w14:solidFill>
              <w14:schemeClr w14:val="tx1"/>
            </w14:solidFill>
          </w14:textFill>
        </w:rPr>
        <w:t>条【经济发展】</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 xml:space="preserve"> 推动人工智能技术在科技创新、产业发展、生产制造、商贸流通、金融服务等领域规模化应用，支持企业应用人工智能提升研发、生产和服务的智能化水平。</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第四十六</w:t>
      </w:r>
      <w:r>
        <w:rPr>
          <w:rFonts w:hint="eastAsia" w:eastAsia="黑体" w:asciiTheme="minorHAnsi" w:hAnsiTheme="minorHAnsi"/>
          <w:bCs/>
          <w:color w:val="000000" w:themeColor="text1"/>
          <w:szCs w:val="32"/>
          <w14:textFill>
            <w14:solidFill>
              <w14:schemeClr w14:val="tx1"/>
            </w14:solidFill>
          </w14:textFill>
        </w:rPr>
        <w:t>条【特殊群体权益保障】</w:t>
      </w:r>
      <w:r>
        <w:rPr>
          <w:rFonts w:eastAsia="黑体" w:asciiTheme="minorHAnsi" w:hAnsiTheme="minorHAnsi"/>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支持保护儿童、老年人、残疾人以及其他特殊人群权益的人工智能产品和服务，保障和改善其基本服务需求和服务体验。</w:t>
      </w:r>
    </w:p>
    <w:p>
      <w:pPr>
        <w:keepNext w:val="0"/>
        <w:keepLines w:val="0"/>
        <w:pageBreakBefore w:val="0"/>
        <w:widowControl w:val="0"/>
        <w:kinsoku/>
        <w:wordWrap/>
        <w:overflowPunct w:val="0"/>
        <w:topLinePunct w:val="0"/>
        <w:autoSpaceDE/>
        <w:autoSpaceDN/>
        <w:bidi w:val="0"/>
        <w:adjustRightInd/>
        <w:snapToGrid w:val="0"/>
        <w:spacing w:line="560" w:lineRule="exact"/>
        <w:ind w:firstLine="640"/>
        <w:textAlignment w:val="auto"/>
        <w:outlineLvl w:val="2"/>
        <w:rPr>
          <w:rFonts w:ascii="仿宋_GB2312" w:hAnsiTheme="minorHAnsi"/>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第四十七条【政府采购】</w:t>
      </w:r>
      <w:r>
        <w:rPr>
          <w:rFonts w:ascii="仿宋_GB2312" w:hAnsiTheme="minorHAnsi"/>
          <w:bCs/>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对符合条件的人工智能产品和服务，优先纳入政府采购范围，享受相关政策支持。</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第四十八条【场景供需】</w:t>
      </w:r>
      <w:r>
        <w:rPr>
          <w:rFonts w:ascii="仿宋_GB2312" w:hAnsiTheme="minorHAnsi"/>
          <w:color w:val="000000" w:themeColor="text1"/>
          <w14:textFill>
            <w14:solidFill>
              <w14:schemeClr w14:val="tx1"/>
            </w14:solidFill>
          </w14:textFill>
        </w:rPr>
        <w:t xml:space="preserve">  市</w:t>
      </w:r>
      <w:r>
        <w:rPr>
          <w:rFonts w:hint="eastAsia" w:ascii="仿宋_GB2312" w:hAnsiTheme="minorHAnsi"/>
          <w:color w:val="000000" w:themeColor="text1"/>
          <w14:textFill>
            <w14:solidFill>
              <w14:schemeClr w14:val="tx1"/>
            </w14:solidFill>
          </w14:textFill>
        </w:rPr>
        <w:t>产业</w:t>
      </w:r>
      <w:r>
        <w:rPr>
          <w:rFonts w:ascii="仿宋_GB2312" w:hAnsiTheme="minorHAnsi"/>
          <w:color w:val="000000" w:themeColor="text1"/>
          <w14:textFill>
            <w14:solidFill>
              <w14:schemeClr w14:val="tx1"/>
            </w14:solidFill>
          </w14:textFill>
        </w:rPr>
        <w:t>主管部门</w:t>
      </w:r>
      <w:r>
        <w:rPr>
          <w:rFonts w:hint="eastAsia" w:ascii="仿宋_GB2312" w:hAnsiTheme="minorHAnsi"/>
          <w:color w:val="000000" w:themeColor="text1"/>
          <w14:textFill>
            <w14:solidFill>
              <w14:schemeClr w14:val="tx1"/>
            </w14:solidFill>
          </w14:textFill>
        </w:rPr>
        <w:t>应当建立人工智能应用场景开放制度，定期制定并发布人工智能场景需求清单，公开征集应用场景解决方案，吸引境内外高水平的人工智能产品和服务供给方。</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探索建立人工智能应用场景供需市场化运营机制。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第四十九条【产品准入】</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除涉及国家安全、公共利益和公民人身安全的领域外，对于国家、地方尚未制定标准但符合更严格产品标准或者规范的人工智能产品和服务，加快低风险的细分领域的产品行政许可，</w:t>
      </w:r>
      <w:r>
        <w:rPr>
          <w:rFonts w:hint="eastAsia" w:ascii="仿宋_GB2312" w:hAnsi="黑体"/>
          <w:color w:val="000000" w:themeColor="text1"/>
          <w14:textFill>
            <w14:solidFill>
              <w14:schemeClr w14:val="tx1"/>
            </w14:solidFill>
          </w14:textFill>
        </w:rPr>
        <w:t>允许通过测试、试验、试点等方式，</w:t>
      </w:r>
      <w:r>
        <w:rPr>
          <w:rFonts w:hint="eastAsia" w:asciiTheme="minorHAnsi" w:hAnsiTheme="minorHAnsi"/>
          <w:color w:val="000000" w:themeColor="text1"/>
          <w14:textFill>
            <w14:solidFill>
              <w14:schemeClr w14:val="tx1"/>
            </w14:solidFill>
          </w14:textFill>
        </w:rPr>
        <w:t>支持低风险人工智能产品和服务先行先试。</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鼓励医疗机构建立临床试验伦理审查的快速审核机制与互认机制，加速人工智能医疗器械的临床试验。探索建立适用于人工智能类医疗器械的快速注册审批机制。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ascii="Calibri Light" w:hAnsi="Calibri Light" w:eastAsia="黑体" w:cs="Times New Roman"/>
          <w:bCs/>
          <w:color w:val="000000" w:themeColor="text1"/>
          <w:szCs w:val="32"/>
          <w14:textFill>
            <w14:solidFill>
              <w14:schemeClr w14:val="tx1"/>
            </w14:solidFill>
          </w14:textFill>
        </w:rPr>
      </w:pPr>
      <w:r>
        <w:rPr>
          <w:rFonts w:hint="eastAsia" w:ascii="Calibri Light" w:hAnsi="Calibri Light" w:eastAsia="黑体" w:cs="Times New Roman"/>
          <w:bCs/>
          <w:color w:val="000000" w:themeColor="text1"/>
          <w:szCs w:val="32"/>
          <w14:textFill>
            <w14:solidFill>
              <w14:schemeClr w14:val="tx1"/>
            </w14:solidFill>
          </w14:textFill>
        </w:rPr>
        <w:t>第五章</w:t>
      </w:r>
      <w:r>
        <w:rPr>
          <w:rFonts w:ascii="Calibri Light" w:hAnsi="Calibri Light" w:eastAsia="黑体" w:cs="Times New Roman"/>
          <w:bCs/>
          <w:color w:val="000000" w:themeColor="text1"/>
          <w:szCs w:val="32"/>
          <w14:textFill>
            <w14:solidFill>
              <w14:schemeClr w14:val="tx1"/>
            </w14:solidFill>
          </w14:textFill>
        </w:rPr>
        <w:t xml:space="preserve">  </w:t>
      </w:r>
      <w:r>
        <w:rPr>
          <w:rFonts w:hint="eastAsia" w:ascii="Calibri Light" w:hAnsi="Calibri Light" w:eastAsia="黑体" w:cs="Times New Roman"/>
          <w:bCs/>
          <w:color w:val="000000" w:themeColor="text1"/>
          <w:szCs w:val="32"/>
          <w14:textFill>
            <w14:solidFill>
              <w14:schemeClr w14:val="tx1"/>
            </w14:solidFill>
          </w14:textFill>
        </w:rPr>
        <w:t>促进与保障</w:t>
      </w:r>
    </w:p>
    <w:p>
      <w:pPr>
        <w:keepNext w:val="0"/>
        <w:keepLines w:val="0"/>
        <w:pageBreakBefore w:val="0"/>
        <w:widowControl w:val="0"/>
        <w:kinsoku/>
        <w:wordWrap/>
        <w:overflowPunct w:val="0"/>
        <w:topLinePunct w:val="0"/>
        <w:autoSpaceDE/>
        <w:autoSpaceDN/>
        <w:bidi w:val="0"/>
        <w:snapToGrid w:val="0"/>
        <w:spacing w:line="560" w:lineRule="exact"/>
        <w:ind w:firstLine="640"/>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第五十条【统筹规划】</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 xml:space="preserve"> 市、区人民政府及其有关部门</w:t>
      </w:r>
      <w:r>
        <w:rPr>
          <w:rFonts w:hint="eastAsia" w:ascii="仿宋_GB2312" w:hAnsi="Calibri" w:cs="Times New Roman"/>
          <w:bCs/>
          <w:color w:val="000000" w:themeColor="text1"/>
          <w:spacing w:val="-6"/>
          <w:szCs w:val="32"/>
          <w14:textFill>
            <w14:solidFill>
              <w14:schemeClr w14:val="tx1"/>
            </w14:solidFill>
          </w14:textFill>
        </w:rPr>
        <w:t>应当根据人工智能产业发展实际，统筹规划人工智能产业布局，</w:t>
      </w:r>
      <w:r>
        <w:rPr>
          <w:rFonts w:ascii="仿宋_GB2312" w:hAnsi="Calibri" w:cs="Times New Roman"/>
          <w:bCs/>
          <w:color w:val="000000" w:themeColor="text1"/>
          <w:spacing w:val="-6"/>
          <w:szCs w:val="32"/>
          <w14:textFill>
            <w14:solidFill>
              <w14:schemeClr w14:val="tx1"/>
            </w14:solidFill>
          </w14:textFill>
        </w:rPr>
        <w:t>在</w:t>
      </w:r>
      <w:r>
        <w:rPr>
          <w:rFonts w:hint="eastAsia" w:ascii="仿宋_GB2312" w:hAnsi="Calibri" w:cs="Times New Roman"/>
          <w:bCs/>
          <w:color w:val="000000" w:themeColor="text1"/>
          <w:spacing w:val="-6"/>
          <w:szCs w:val="32"/>
          <w14:textFill>
            <w14:solidFill>
              <w14:schemeClr w14:val="tx1"/>
            </w14:solidFill>
          </w14:textFill>
        </w:rPr>
        <w:t>资金、产业用地、人才等方面对人工智能产业予以支持。</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14:textFill>
            <w14:solidFill>
              <w14:schemeClr w14:val="tx1"/>
            </w14:solidFill>
          </w14:textFill>
        </w:rPr>
        <w:t>五十一</w:t>
      </w:r>
      <w:r>
        <w:rPr>
          <w:rFonts w:ascii="黑体" w:hAnsi="黑体" w:eastAsia="黑体" w:cs="Times New Roman"/>
          <w:bCs/>
          <w:color w:val="000000" w:themeColor="text1"/>
          <w:szCs w:val="32"/>
          <w14:textFill>
            <w14:solidFill>
              <w14:schemeClr w14:val="tx1"/>
            </w14:solidFill>
          </w14:textFill>
        </w:rPr>
        <w:t>条</w:t>
      </w:r>
      <w:r>
        <w:rPr>
          <w:rFonts w:hint="eastAsia" w:ascii="黑体" w:hAnsi="黑体" w:eastAsia="黑体" w:cs="Times New Roman"/>
          <w:bCs/>
          <w:color w:val="000000" w:themeColor="text1"/>
          <w:szCs w:val="32"/>
          <w14:textFill>
            <w14:solidFill>
              <w14:schemeClr w14:val="tx1"/>
            </w14:solidFill>
          </w14:textFill>
        </w:rPr>
        <w:t>【产业政策】</w:t>
      </w:r>
      <w:r>
        <w:rPr>
          <w:rFonts w:ascii="黑体" w:hAnsi="黑体" w:eastAsia="黑体"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14:textFill>
            <w14:solidFill>
              <w14:schemeClr w14:val="tx1"/>
            </w14:solidFill>
          </w14:textFill>
        </w:rPr>
        <w:t>、</w:t>
      </w:r>
      <w:r>
        <w:rPr>
          <w:rFonts w:ascii="仿宋_GB2312" w:hAnsi="Calibri" w:cs="Times New Roman"/>
          <w:bCs/>
          <w:color w:val="000000" w:themeColor="text1"/>
          <w:szCs w:val="32"/>
          <w14:textFill>
            <w14:solidFill>
              <w14:schemeClr w14:val="tx1"/>
            </w14:solidFill>
          </w14:textFill>
        </w:rPr>
        <w:t>区</w:t>
      </w:r>
      <w:r>
        <w:rPr>
          <w:rFonts w:hint="eastAsia" w:ascii="仿宋_GB2312" w:hAnsi="Calibri" w:cs="Times New Roman"/>
          <w:bCs/>
          <w:color w:val="000000" w:themeColor="text1"/>
          <w:szCs w:val="32"/>
          <w14:textFill>
            <w14:solidFill>
              <w14:schemeClr w14:val="tx1"/>
            </w14:solidFill>
          </w14:textFill>
        </w:rPr>
        <w:t>人民政府应当根据人工智能产业发展规划，建立符合世界贸易组织规则和有关国际贸易准则的产业政策，维护市场公平竞争，为人工智能产业国际化发展提供有利的政策环境。</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w:t>
      </w:r>
      <w:r>
        <w:rPr>
          <w:rFonts w:ascii="黑体" w:hAnsi="黑体" w:eastAsia="黑体" w:cs="Times New Roman"/>
          <w:bCs/>
          <w:color w:val="000000" w:themeColor="text1"/>
          <w:szCs w:val="32"/>
          <w14:textFill>
            <w14:solidFill>
              <w14:schemeClr w14:val="tx1"/>
            </w14:solidFill>
          </w14:textFill>
        </w:rPr>
        <w:t>五十</w:t>
      </w:r>
      <w:r>
        <w:rPr>
          <w:rFonts w:hint="eastAsia" w:ascii="黑体" w:hAnsi="黑体" w:eastAsia="黑体" w:cs="Times New Roman"/>
          <w:bCs/>
          <w:color w:val="000000" w:themeColor="text1"/>
          <w:szCs w:val="32"/>
          <w14:textFill>
            <w14:solidFill>
              <w14:schemeClr w14:val="tx1"/>
            </w14:solidFill>
          </w14:textFill>
        </w:rPr>
        <w:t xml:space="preserve">二条【园区建设】  </w:t>
      </w:r>
      <w:r>
        <w:rPr>
          <w:rFonts w:hint="eastAsia" w:ascii="仿宋_GB2312" w:hAnsi="仿宋_GB2312" w:cs="仿宋_GB2312"/>
          <w:bCs/>
          <w:color w:val="000000" w:themeColor="text1"/>
          <w:szCs w:val="32"/>
          <w14:textFill>
            <w14:solidFill>
              <w14:schemeClr w14:val="tx1"/>
            </w14:solidFill>
          </w14:textFill>
        </w:rPr>
        <w:t>推动建设人工智能产业园区，引导人工智能产业聚集发展。市规划和</w:t>
      </w:r>
      <w:r>
        <w:rPr>
          <w:rFonts w:hint="eastAsia" w:ascii="仿宋_GB2312" w:hAnsi="Calibri" w:cs="Times New Roman"/>
          <w:bCs/>
          <w:color w:val="000000" w:themeColor="text1"/>
          <w:szCs w:val="32"/>
          <w14:textFill>
            <w14:solidFill>
              <w14:schemeClr w14:val="tx1"/>
            </w14:solidFill>
          </w14:textFill>
        </w:rPr>
        <w:t>自然资源部门编制建设用地供应计划时，应当合理保障人工智能园区建设用地需求。</w:t>
      </w:r>
      <w:r>
        <w:rPr>
          <w:rFonts w:hint="eastAsia" w:cs="Times New Roman"/>
          <w:color w:val="000000" w:themeColor="text1"/>
          <w:szCs w:val="32"/>
          <w14:textFill>
            <w14:solidFill>
              <w14:schemeClr w14:val="tx1"/>
            </w14:solidFill>
          </w14:textFill>
        </w:rPr>
        <w:t>探索建立宽松灵活的产业空间管理机制，对于符合条件的企业，合理确定开发强度和配套功能。</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第五十三条【特色布局】</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cs="Times New Roman"/>
          <w:color w:val="000000" w:themeColor="text1"/>
          <w:szCs w:val="32"/>
          <w14:textFill>
            <w14:solidFill>
              <w14:schemeClr w14:val="tx1"/>
            </w14:solidFill>
          </w14:textFill>
        </w:rPr>
        <w:t>支持深港科技创新合作区深圳园区自主开展人工智能基础研究和应用基础研究，建设人工智能创新发展试验区，建立与国际接轨的科研管理制度，试点实施更加开放、便捷的国际组织注册制度，吸引港澳以及国际地区人工智能高端</w:t>
      </w:r>
      <w:r>
        <w:rPr>
          <w:rFonts w:ascii="仿宋_GB2312" w:cs="Times New Roman"/>
          <w:color w:val="000000" w:themeColor="text1"/>
          <w:szCs w:val="32"/>
          <w14:textFill>
            <w14:solidFill>
              <w14:schemeClr w14:val="tx1"/>
            </w14:solidFill>
          </w14:textFill>
        </w:rPr>
        <w:t>创新要素</w:t>
      </w:r>
      <w:r>
        <w:rPr>
          <w:rFonts w:hint="eastAsia" w:ascii="仿宋_GB2312" w:cs="Times New Roman"/>
          <w:color w:val="000000" w:themeColor="text1"/>
          <w:szCs w:val="32"/>
          <w14:textFill>
            <w14:solidFill>
              <w14:schemeClr w14:val="tx1"/>
            </w14:solidFill>
          </w14:textFill>
        </w:rPr>
        <w:t>聚集。</w:t>
      </w:r>
    </w:p>
    <w:p>
      <w:pPr>
        <w:keepNext w:val="0"/>
        <w:keepLines w:val="0"/>
        <w:pageBreakBefore w:val="0"/>
        <w:widowControl w:val="0"/>
        <w:kinsoku/>
        <w:wordWrap/>
        <w:overflowPunct w:val="0"/>
        <w:topLinePunct w:val="0"/>
        <w:autoSpaceDE/>
        <w:autoSpaceDN/>
        <w:bidi w:val="0"/>
        <w:snapToGrid w:val="0"/>
        <w:spacing w:line="560" w:lineRule="exact"/>
        <w:ind w:firstLine="707" w:firstLineChars="221"/>
        <w:textAlignment w:val="auto"/>
        <w:outlineLvl w:val="2"/>
        <w:rPr>
          <w:rFonts w:asciiTheme="minorHAnsi" w:hAnsiTheme="minorHAnsi"/>
          <w:color w:val="000000" w:themeColor="text1"/>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 xml:space="preserve">第五十四条【人才培育】  </w:t>
      </w:r>
      <w:r>
        <w:rPr>
          <w:rFonts w:hint="eastAsia" w:ascii="仿宋_GB2312" w:cs="Times New Roman"/>
          <w:color w:val="000000" w:themeColor="text1"/>
          <w:szCs w:val="32"/>
          <w14:textFill>
            <w14:solidFill>
              <w14:schemeClr w14:val="tx1"/>
            </w14:solidFill>
          </w14:textFill>
        </w:rPr>
        <w:t>支持本地高等院校开设人工智能相关学科和交叉学科，鼓励企业创办研究机构、与学校联合建设实验室，建立产学研合作复合型人才培养模式。</w:t>
      </w:r>
      <w:r>
        <w:rPr>
          <w:rFonts w:hint="eastAsia" w:asciiTheme="minorHAnsi" w:hAnsiTheme="minorHAnsi"/>
          <w:color w:val="000000" w:themeColor="text1"/>
          <w14:textFill>
            <w14:solidFill>
              <w14:schemeClr w14:val="tx1"/>
            </w14:solidFill>
          </w14:textFill>
        </w:rPr>
        <w:t>推动开展人工智能基础教育和应用型职业技能教育。</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仿宋_GB2312" w:hAnsiTheme="minorHAnsi"/>
          <w:color w:val="000000" w:themeColor="text1"/>
          <w:szCs w:val="32"/>
          <w14:textFill>
            <w14:solidFill>
              <w14:schemeClr w14:val="tx1"/>
            </w14:solidFill>
          </w14:textFill>
        </w:rPr>
        <w:t>市教育主管部门及其他相关部门应当在资金、项目投入、培养计划以及审批环节等方面给予支持。</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bCs/>
          <w:color w:val="000000" w:themeColor="text1"/>
          <w:kern w:val="0"/>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五十五</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【国际人才集聚】 </w:t>
      </w:r>
      <w:r>
        <w:rPr>
          <w:rFonts w:ascii="Calibri" w:hAnsi="Calibri" w:eastAsia="黑体" w:cs="Times New Roman"/>
          <w:bCs/>
          <w:color w:val="000000" w:themeColor="text1"/>
          <w:szCs w:val="32"/>
          <w14:textFill>
            <w14:solidFill>
              <w14:schemeClr w14:val="tx1"/>
            </w14:solidFill>
          </w14:textFill>
        </w:rPr>
        <w:t xml:space="preserve"> </w:t>
      </w:r>
      <w:r>
        <w:rPr>
          <w:rFonts w:asciiTheme="minorHAnsi" w:hAnsiTheme="minorHAnsi"/>
          <w:color w:val="000000" w:themeColor="text1"/>
          <w14:textFill>
            <w14:solidFill>
              <w14:schemeClr w14:val="tx1"/>
            </w14:solidFill>
          </w14:textFill>
        </w:rPr>
        <w:t>以重大项目</w:t>
      </w:r>
      <w:r>
        <w:rPr>
          <w:rFonts w:hint="eastAsia" w:asciiTheme="minorHAnsi" w:hAnsiTheme="minorHAnsi"/>
          <w:color w:val="000000" w:themeColor="text1"/>
          <w14:textFill>
            <w14:solidFill>
              <w14:schemeClr w14:val="tx1"/>
            </w14:solidFill>
          </w14:textFill>
        </w:rPr>
        <w:t>聚集国内外人工智能顶尖人才以及高水平团队。</w:t>
      </w:r>
      <w:r>
        <w:rPr>
          <w:rFonts w:hint="eastAsia" w:ascii="仿宋_GB2312" w:hAnsi="Calibri" w:cs="Times New Roman"/>
          <w:bCs/>
          <w:color w:val="000000" w:themeColor="text1"/>
          <w:szCs w:val="32"/>
          <w14:textFill>
            <w14:solidFill>
              <w14:schemeClr w14:val="tx1"/>
            </w14:solidFill>
          </w14:textFill>
        </w:rPr>
        <w:t>市人才主管</w:t>
      </w:r>
      <w:r>
        <w:rPr>
          <w:rFonts w:ascii="仿宋_GB2312" w:hAnsi="Calibri" w:cs="Times New Roman"/>
          <w:bCs/>
          <w:color w:val="000000" w:themeColor="text1"/>
          <w:szCs w:val="32"/>
          <w14:textFill>
            <w14:solidFill>
              <w14:schemeClr w14:val="tx1"/>
            </w14:solidFill>
          </w14:textFill>
        </w:rPr>
        <w:t>部门</w:t>
      </w:r>
      <w:r>
        <w:rPr>
          <w:rFonts w:hint="eastAsia" w:ascii="仿宋_GB2312" w:hAnsi="Calibri" w:cs="Times New Roman"/>
          <w:bCs/>
          <w:color w:val="000000" w:themeColor="text1"/>
          <w:szCs w:val="32"/>
          <w14:textFill>
            <w14:solidFill>
              <w14:schemeClr w14:val="tx1"/>
            </w14:solidFill>
          </w14:textFill>
        </w:rPr>
        <w:t>应当制订、实施与国际接轨的人才政策，吸引国际高端人才，</w:t>
      </w:r>
      <w:r>
        <w:rPr>
          <w:rFonts w:hint="eastAsia" w:ascii="仿宋_GB2312" w:cs="Times New Roman"/>
          <w:bCs/>
          <w:color w:val="000000" w:themeColor="text1"/>
          <w:kern w:val="0"/>
          <w:szCs w:val="32"/>
          <w14:textFill>
            <w14:solidFill>
              <w14:schemeClr w14:val="tx1"/>
            </w14:solidFill>
          </w14:textFill>
        </w:rPr>
        <w:t>建立海外人才储备库。</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 xml:space="preserve">第五十六条【人才评定】  </w:t>
      </w:r>
      <w:r>
        <w:rPr>
          <w:rFonts w:hint="eastAsia" w:ascii="仿宋_GB2312" w:hAnsi="Calibri" w:cs="Times New Roman"/>
          <w:bCs/>
          <w:color w:val="000000" w:themeColor="text1"/>
          <w:szCs w:val="32"/>
          <w14:textFill>
            <w14:solidFill>
              <w14:schemeClr w14:val="tx1"/>
            </w14:solidFill>
          </w14:textFill>
        </w:rPr>
        <w:t>建立以创新价值、能力、贡</w:t>
      </w:r>
      <w:r>
        <w:rPr>
          <w:rFonts w:hint="eastAsia" w:ascii="仿宋_GB2312" w:hAnsi="Calibri" w:cs="Times New Roman"/>
          <w:bCs/>
          <w:color w:val="000000" w:themeColor="text1"/>
          <w:spacing w:val="-6"/>
          <w:szCs w:val="32"/>
          <w14:textFill>
            <w14:solidFill>
              <w14:schemeClr w14:val="tx1"/>
            </w14:solidFill>
          </w14:textFill>
        </w:rPr>
        <w:t>献为导向的科技人才评价体系，将科技成果转化创造的经济效益和社会效益作为人工智能人才职称评审的主要评价因素。</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Calibri" w:eastAsia="黑体"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建立健全以用人单位人才评价为主导的人工智能创新人才评定机制。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五十七</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【人才保障】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按照规定为符合条件的人工智能企业及其员工，在企业设立、项目申报和出入境、住房、外汇管理、医疗保障、子女就学等方面提供便利。</w:t>
      </w:r>
    </w:p>
    <w:p>
      <w:pPr>
        <w:keepNext w:val="0"/>
        <w:keepLines w:val="0"/>
        <w:pageBreakBefore w:val="0"/>
        <w:widowControl w:val="0"/>
        <w:kinsoku/>
        <w:wordWrap/>
        <w:overflowPunct w:val="0"/>
        <w:topLinePunct w:val="0"/>
        <w:autoSpaceDE/>
        <w:autoSpaceDN/>
        <w:bidi w:val="0"/>
        <w:snapToGrid w:val="0"/>
        <w:spacing w:line="560" w:lineRule="exact"/>
        <w:ind w:firstLine="640"/>
        <w:textAlignment w:val="auto"/>
        <w:outlineLvl w:val="2"/>
        <w:rPr>
          <w:rFonts w:cs="Times New Roman"/>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第五十八条【金融支持】</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发挥市、区人民</w:t>
      </w:r>
      <w:r>
        <w:rPr>
          <w:rFonts w:hint="eastAsia" w:ascii="仿宋_GB2312" w:hAnsi="Calibri" w:cs="Times New Roman"/>
          <w:iCs/>
          <w:color w:val="000000" w:themeColor="text1"/>
          <w:szCs w:val="32"/>
          <w14:textFill>
            <w14:solidFill>
              <w14:schemeClr w14:val="tx1"/>
            </w14:solidFill>
          </w14:textFill>
        </w:rPr>
        <w:t>政府投资引导基金扶持作用，开展人工智能专项扶持。</w:t>
      </w:r>
      <w:r>
        <w:rPr>
          <w:rFonts w:hint="eastAsia" w:cs="Times New Roman"/>
          <w:color w:val="000000" w:themeColor="text1"/>
          <w:szCs w:val="32"/>
          <w14:textFill>
            <w14:solidFill>
              <w14:schemeClr w14:val="tx1"/>
            </w14:solidFill>
          </w14:textFill>
        </w:rPr>
        <w:t>鼓励社会资本参与人工智能产业发展。发挥中小微企业融资担保基金作用，加大对人工智能初创企业信用担保力度。</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第五十九条【科技保险】</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探索完善适应人工智能产品和服务的专门性保险赔偿体系，为人工智能产品和服务提供全链条的保险保障。</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第六十条【激励机制】</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支持社会力量以在人工智能基础研究、关键核心技术攻关、科技成果推广应用等方面取得成果或者做出贡献的个人、组织为奖励对象，设立和开展人工智能相关奖励活动。</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Arial" w:hAnsi="Arial" w:cs="Arial"/>
          <w:color w:val="000000" w:themeColor="text1"/>
          <w:shd w:val="clear" w:color="auto" w:fill="FFFFFF"/>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第六十一条【知识产权】</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加强新技术、新业态、新模式知识产权保护机制，探索建立人工智能产业领域及其关键技术环节的知识产权保护制度，将人工智能算法等</w:t>
      </w:r>
      <w:r>
        <w:rPr>
          <w:rFonts w:ascii="Arial" w:hAnsi="Arial" w:cs="Arial"/>
          <w:color w:val="000000" w:themeColor="text1"/>
          <w:shd w:val="clear" w:color="auto" w:fill="FFFFFF"/>
          <w14:textFill>
            <w14:solidFill>
              <w14:schemeClr w14:val="tx1"/>
            </w14:solidFill>
          </w14:textFill>
        </w:rPr>
        <w:t>纳入知识产权的保护范畴</w:t>
      </w:r>
      <w:r>
        <w:rPr>
          <w:rFonts w:hint="eastAsia" w:ascii="Arial" w:hAnsi="Arial" w:cs="Arial"/>
          <w:color w:val="000000" w:themeColor="text1"/>
          <w:shd w:val="clear" w:color="auto"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建立人工智能公共专利池，促进人工智能新技术的利用。</w:t>
      </w:r>
    </w:p>
    <w:p>
      <w:pPr>
        <w:keepNext w:val="0"/>
        <w:keepLines w:val="0"/>
        <w:pageBreakBefore w:val="0"/>
        <w:widowControl w:val="0"/>
        <w:tabs>
          <w:tab w:val="left" w:pos="5812"/>
        </w:tabs>
        <w:kinsoku/>
        <w:wordWrap/>
        <w:overflowPunct w:val="0"/>
        <w:topLinePunct w:val="0"/>
        <w:autoSpaceDE/>
        <w:autoSpaceDN/>
        <w:bidi w:val="0"/>
        <w:spacing w:line="560" w:lineRule="exact"/>
        <w:ind w:firstLine="641" w:firstLineChars="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第六十二条【标准组织和行业组织】</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培育本市符合国际发展趋势、具有市场竞争力的人工智能标准组织和行业组织。</w:t>
      </w:r>
    </w:p>
    <w:p>
      <w:pPr>
        <w:keepNext w:val="0"/>
        <w:keepLines w:val="0"/>
        <w:pageBreakBefore w:val="0"/>
        <w:widowControl w:val="0"/>
        <w:tabs>
          <w:tab w:val="left" w:pos="5812"/>
        </w:tabs>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zCs w:val="32"/>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鼓励行业组织提供</w:t>
      </w:r>
      <w:r>
        <w:rPr>
          <w:rFonts w:hint="eastAsia" w:ascii="仿宋_GB2312" w:hAnsi="Calibri" w:cs="Times New Roman"/>
          <w:bCs/>
          <w:color w:val="000000" w:themeColor="text1"/>
          <w:szCs w:val="32"/>
          <w14:textFill>
            <w14:solidFill>
              <w14:schemeClr w14:val="tx1"/>
            </w14:solidFill>
          </w14:textFill>
        </w:rPr>
        <w:t>创业培育和辅导、知识产权保护、投资融资、可信技术研发、风险分析和控制、技术支持等服务。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第六十三条【影响力建设】</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支持和鼓励举办人工智能境内外高水平的学术交流和产业合作活动。</w:t>
      </w:r>
      <w:r>
        <w:rPr>
          <w:rFonts w:hint="eastAsia" w:asciiTheme="minorHAnsi" w:hAnsiTheme="minorHAnsi"/>
          <w:color w:val="000000" w:themeColor="text1"/>
          <w14:textFill>
            <w14:solidFill>
              <w14:schemeClr w14:val="tx1"/>
            </w14:solidFill>
          </w14:textFill>
        </w:rPr>
        <w:t>建立与国际标准化组织、有影响力国际学术和产业组织的标准交流合作机制。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鼓励高等院校、科研机构等参与和主导国际科学计划和科学工程。鼓励企业参与有影响力的国际组织并开展相关活动，推动人工智能产品和服务在国内外示范应用。</w:t>
      </w:r>
    </w:p>
    <w:p>
      <w:pPr>
        <w:keepNext w:val="0"/>
        <w:keepLines w:val="0"/>
        <w:pageBreakBefore w:val="0"/>
        <w:widowControl w:val="0"/>
        <w:kinsoku/>
        <w:wordWrap/>
        <w:overflowPunct w:val="0"/>
        <w:topLinePunct w:val="0"/>
        <w:autoSpaceDE/>
        <w:autoSpaceDN/>
        <w:bidi w:val="0"/>
        <w:adjustRightInd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第六十四条【加强宣教】</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加强人工智能伦理道德和社会价值观引导，开展人工智能知识宣传、教育、培训、科普。</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产业主管部门及其他部门应当利用广播、电视、报刊和互联网等媒体及时宣传人工智能产业发展情况和取得的成效，做好舆论引导，帮助公众适应人工智能发展带来的生活方式、就业形式以及伦理道德等方面的影响。</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仿宋_GB2312" w:hAnsiTheme="minorHAnsi"/>
          <w:bCs/>
          <w:color w:val="000000" w:themeColor="text1"/>
          <w:szCs w:val="32"/>
          <w14:textFill>
            <w14:solidFill>
              <w14:schemeClr w14:val="tx1"/>
            </w14:solidFill>
          </w14:textFill>
        </w:rPr>
      </w:pPr>
      <w:r>
        <w:rPr>
          <w:rFonts w:hint="eastAsia" w:ascii="Calibri" w:eastAsia="黑体" w:hAnsiTheme="minorHAnsi"/>
          <w:bCs/>
          <w:color w:val="000000" w:themeColor="text1"/>
          <w:szCs w:val="32"/>
          <w14:textFill>
            <w14:solidFill>
              <w14:schemeClr w14:val="tx1"/>
            </w14:solidFill>
          </w14:textFill>
        </w:rPr>
        <w:t>第六十五条【情况报告</w:t>
      </w:r>
      <w:r>
        <w:rPr>
          <w:rFonts w:hint="eastAsia"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市产业主管部门应当于每年上半年向社会发布本市人工智能产业发展年度计划实施情况的报告。</w:t>
      </w:r>
    </w:p>
    <w:p>
      <w:pPr>
        <w:keepNext w:val="0"/>
        <w:keepLines w:val="0"/>
        <w:pageBreakBefore w:val="0"/>
        <w:widowControl w:val="0"/>
        <w:kinsoku/>
        <w:wordWrap/>
        <w:overflowPunct w:val="0"/>
        <w:topLinePunct w:val="0"/>
        <w:autoSpaceDE/>
        <w:autoSpaceDN/>
        <w:bidi w:val="0"/>
        <w:spacing w:line="560" w:lineRule="exact"/>
        <w:ind w:left="0" w:leftChars="0" w:firstLine="0" w:firstLineChars="0"/>
        <w:textAlignment w:val="auto"/>
        <w:outlineLvl w:val="2"/>
        <w:rPr>
          <w:rFonts w:hint="eastAsia" w:ascii="仿宋_GB2312" w:hAnsiTheme="minorHAns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center"/>
        <w:textAlignment w:val="auto"/>
        <w:outlineLvl w:val="2"/>
        <w:rPr>
          <w:rFonts w:hint="eastAsia" w:ascii="Calibri Light" w:hAnsi="Calibri Light" w:eastAsia="黑体" w:cs="Times New Roman"/>
          <w:bCs/>
          <w:color w:val="000000" w:themeColor="text1"/>
          <w:szCs w:val="32"/>
          <w14:textFill>
            <w14:solidFill>
              <w14:schemeClr w14:val="tx1"/>
            </w14:solidFill>
          </w14:textFill>
        </w:rPr>
      </w:pPr>
      <w:r>
        <w:rPr>
          <w:rFonts w:hint="eastAsia" w:ascii="Calibri Light" w:hAnsi="Calibri Light" w:eastAsia="黑体" w:cs="Times New Roman"/>
          <w:bCs/>
          <w:color w:val="000000" w:themeColor="text1"/>
          <w:szCs w:val="32"/>
          <w14:textFill>
            <w14:solidFill>
              <w14:schemeClr w14:val="tx1"/>
            </w14:solidFill>
          </w14:textFill>
        </w:rPr>
        <w:t>第六章</w:t>
      </w:r>
      <w:r>
        <w:rPr>
          <w:rFonts w:ascii="Calibri Light" w:hAnsi="Calibri Light" w:eastAsia="黑体" w:cs="Times New Roman"/>
          <w:bCs/>
          <w:color w:val="000000" w:themeColor="text1"/>
          <w:szCs w:val="32"/>
          <w14:textFill>
            <w14:solidFill>
              <w14:schemeClr w14:val="tx1"/>
            </w14:solidFill>
          </w14:textFill>
        </w:rPr>
        <w:t xml:space="preserve">  </w:t>
      </w:r>
      <w:r>
        <w:rPr>
          <w:rFonts w:hint="eastAsia" w:ascii="Calibri Light" w:hAnsi="Calibri Light" w:eastAsia="黑体" w:cs="Times New Roman"/>
          <w:bCs/>
          <w:color w:val="000000" w:themeColor="text1"/>
          <w:szCs w:val="32"/>
          <w14:textFill>
            <w14:solidFill>
              <w14:schemeClr w14:val="tx1"/>
            </w14:solidFill>
          </w14:textFill>
        </w:rPr>
        <w:t>治理原则与措施</w:t>
      </w: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center"/>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center"/>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lang w:val="en-US" w:eastAsia="zh-CN"/>
          <w14:textFill>
            <w14:solidFill>
              <w14:schemeClr w14:val="tx1"/>
            </w14:solidFill>
          </w14:textFill>
        </w:rPr>
        <w:t xml:space="preserve">    </w:t>
      </w:r>
      <w:r>
        <w:rPr>
          <w:rFonts w:hint="eastAsia" w:ascii="Calibri" w:hAnsi="Calibri" w:eastAsia="黑体" w:cs="Times New Roman"/>
          <w:bCs/>
          <w:color w:val="000000" w:themeColor="text1"/>
          <w:szCs w:val="32"/>
          <w14:textFill>
            <w14:solidFill>
              <w14:schemeClr w14:val="tx1"/>
            </w14:solidFill>
          </w14:textFill>
        </w:rPr>
        <w:t xml:space="preserve">第六十六条【治理原则】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本市人工智能产业治理遵循和谐友好、公平公正、包容共享、尊重隐私、安全可控、共担责任、开放协作、敏捷治理原则，推动经济、社会以及生态可持续发展。</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 xml:space="preserve">第六十七条【治理机制】  </w:t>
      </w:r>
      <w:r>
        <w:rPr>
          <w:rFonts w:hint="eastAsia" w:ascii="仿宋_GB2312" w:hAnsi="Calibri" w:cs="Times New Roman"/>
          <w:bCs/>
          <w:color w:val="000000" w:themeColor="text1"/>
          <w:szCs w:val="32"/>
          <w14:textFill>
            <w14:solidFill>
              <w14:schemeClr w14:val="tx1"/>
            </w14:solidFill>
          </w14:textFill>
        </w:rPr>
        <w:t>建立和完善政府规范、行业自律、企业自治、社会监督的人工智能治理机制，促进产业多元主体协同共治。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六十八</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【伦理委员会职责】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市人民政府应当按照国家人工智能治理相关规定，设立人工智能伦理委员会，履行下列职责：</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研究制定人工智能领域的伦理规范；</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建立健全人工智能伦理安全标准管理制度，引导和规范人工智能伦理安全标准的制订和实施；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（三）对</w:t>
      </w:r>
      <w:r>
        <w:rPr>
          <w:rFonts w:ascii="仿宋_GB2312" w:hAnsi="Calibri" w:cs="Times New Roman"/>
          <w:color w:val="000000" w:themeColor="text1"/>
          <w:szCs w:val="32"/>
          <w14:textFill>
            <w14:solidFill>
              <w14:schemeClr w14:val="tx1"/>
            </w14:solidFill>
          </w14:textFill>
        </w:rPr>
        <w:t>数据垄断、算法歧视、智能滥用、深度造假、</w:t>
      </w:r>
      <w:r>
        <w:rPr>
          <w:rFonts w:hint="eastAsia" w:ascii="仿宋_GB2312" w:hAnsi="Calibri" w:cs="Times New Roman"/>
          <w:color w:val="000000" w:themeColor="text1"/>
          <w:szCs w:val="32"/>
          <w14:textFill>
            <w14:solidFill>
              <w14:schemeClr w14:val="tx1"/>
            </w14:solidFill>
          </w14:textFill>
        </w:rPr>
        <w:t>数据投毒、</w:t>
      </w:r>
      <w:r>
        <w:rPr>
          <w:rFonts w:ascii="仿宋_GB2312" w:hAnsi="Calibri" w:cs="Times New Roman"/>
          <w:color w:val="000000" w:themeColor="text1"/>
          <w:szCs w:val="32"/>
          <w14:textFill>
            <w14:solidFill>
              <w14:schemeClr w14:val="tx1"/>
            </w14:solidFill>
          </w14:textFill>
        </w:rPr>
        <w:t>隐私保护、伦理道德、不平等智能操作以及对社会结构的影响等重点领域</w:t>
      </w:r>
      <w:r>
        <w:rPr>
          <w:rFonts w:hint="eastAsia" w:ascii="仿宋_GB2312" w:hAnsi="Calibri" w:cs="Times New Roman"/>
          <w:color w:val="000000" w:themeColor="text1"/>
          <w:szCs w:val="32"/>
          <w14:textFill>
            <w14:solidFill>
              <w14:schemeClr w14:val="tx1"/>
            </w14:solidFill>
          </w14:textFill>
        </w:rPr>
        <w:t>开展</w:t>
      </w:r>
      <w:r>
        <w:rPr>
          <w:rFonts w:ascii="仿宋_GB2312" w:hAnsi="Calibri" w:cs="Times New Roman"/>
          <w:color w:val="000000" w:themeColor="text1"/>
          <w:szCs w:val="32"/>
          <w14:textFill>
            <w14:solidFill>
              <w14:schemeClr w14:val="tx1"/>
            </w14:solidFill>
          </w14:textFill>
        </w:rPr>
        <w:t>监测与研判</w:t>
      </w:r>
      <w:r>
        <w:rPr>
          <w:rFonts w:hint="eastAsia" w:ascii="仿宋_GB2312" w:hAnsi="Calibri"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Calibri" w:hAnsi="Calibri" w:cs="Times New Roman"/>
          <w:color w:val="000000" w:themeColor="text1"/>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（四）发布人工智能伦理安全实践指南、人工智能伦理安全白皮书以及人工智能企业伦理安全治理优秀案例集等，引导不同类型的人工智能企业建立完善伦理安全治理制度；</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（五）评估、监督本市人工智能企业的伦理规范执行情况；</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（六）其他应当开展的活动。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第六十九条【国际治理】</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建立和完善人工智能研究和应用国际交流机制，开展政府间国际合作与交流。</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鼓励高等院校、科研机构、行业组织和企业参与国际间学术组织和产业组织的对话与合作，推动形成具有广泛共识的国际人工智能治理框架和标准规范。</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 xml:space="preserve">第七十条【政府监管】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坚持以政府主导、企业以及其他利益相关方参与的模式制定人工智能产业政策。</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市人民政府及其有关部门根据人工智能应用的风险等级、应用场景、影响范围等具体情境，实施分级、分类差异化监管。</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市人民政府及其有关部门应当创新监管模式和监管手段，积极使用政策指南、</w:t>
      </w:r>
      <w:r>
        <w:rPr>
          <w:rFonts w:hint="eastAsia" w:ascii="仿宋_GB2312" w:hAnsi="黑体"/>
          <w:color w:val="000000" w:themeColor="text1"/>
          <w14:textFill>
            <w14:solidFill>
              <w14:schemeClr w14:val="tx1"/>
            </w14:solidFill>
          </w14:textFill>
        </w:rPr>
        <w:t>沙盒技术</w:t>
      </w:r>
      <w:r>
        <w:rPr>
          <w:rFonts w:hint="eastAsia" w:asciiTheme="minorHAnsi" w:hAnsiTheme="minorHAnsi"/>
          <w:color w:val="000000" w:themeColor="text1"/>
          <w14:textFill>
            <w14:solidFill>
              <w14:schemeClr w14:val="tx1"/>
            </w14:solidFill>
          </w14:textFill>
        </w:rPr>
        <w:t>、应用试点等监管工具，逐步完善人工智能领域监管机制。</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第七十一条【分级监管】</w:t>
      </w:r>
      <w:r>
        <w:rPr>
          <w:rFonts w:hint="eastAsia" w:asciiTheme="minorHAnsi" w:hAnsiTheme="minorHAnsi"/>
          <w:color w:val="000000" w:themeColor="text1"/>
          <w14:textFill>
            <w14:solidFill>
              <w14:schemeClr w14:val="tx1"/>
            </w14:solidFill>
          </w14:textFill>
        </w:rPr>
        <w:t xml:space="preserve"> </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高风险的人工智能应用应当采用事前评估和风险预警的监管模式。</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中低风险的人工智能应用应当采用事前披露和事后控制的监管模式。</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第七十二条【算法规制】 </w:t>
      </w:r>
      <w:r>
        <w:rPr>
          <w:rFonts w:ascii="黑体" w:hAnsi="黑体" w:eastAsia="黑体"/>
          <w:color w:val="000000" w:themeColor="text1"/>
          <w14:textFill>
            <w14:solidFill>
              <w14:schemeClr w14:val="tx1"/>
            </w14:solidFill>
          </w14:textFill>
        </w:rPr>
        <w:t xml:space="preserve"> </w:t>
      </w:r>
      <w:r>
        <w:rPr>
          <w:rFonts w:hint="eastAsia" w:ascii="仿宋_GB2312" w:hAnsi="黑体"/>
          <w:color w:val="000000" w:themeColor="text1"/>
          <w14:textFill>
            <w14:solidFill>
              <w14:schemeClr w14:val="tx1"/>
            </w14:solidFill>
          </w14:textFill>
        </w:rPr>
        <w:t>根据人工智能算法运用的不同主体、算法针对的不同对象、算法涉及的不同领域进行分类规制。对于公共决策领域以及涉及公共利益的商业领域的算法，应当采取公众可理解的方式进行算法说明。</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第七十三条【敏捷治理】</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组织开展人工智能社会实验，研究人工智能发展对个人和组织的行为方式、社会心理，就业结构、收入变化、社会公平等方面的综合影响，持续积累数据和实践经验。</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市产业主管部门及其他部门应当开展人工智能发展的监测和评估，准确把握技术和产业发展趋势，开展人工智能对经济社会综合影响以及对策研究，及时调整产业发展政策。</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第七十四条【行业自律】</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行业组织依照法律、法规和章程的规定，开展行业自律管理，</w:t>
      </w:r>
      <w:r>
        <w:rPr>
          <w:rFonts w:hint="eastAsia" w:ascii="仿宋_GB2312" w:hAnsi="Calibri" w:cs="Times New Roman"/>
          <w:color w:val="000000" w:themeColor="text1"/>
          <w:szCs w:val="32"/>
          <w14:textFill>
            <w14:solidFill>
              <w14:schemeClr w14:val="tx1"/>
            </w14:solidFill>
          </w14:textFill>
        </w:rPr>
        <w:t>引导和督促本行业的经营者依法竞争，维护市场竞争秩序。</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鼓励行业组织制定人工智能相关行业标准、技术指南、设计准则等行业制度规范</w:t>
      </w:r>
      <w:r>
        <w:rPr>
          <w:rFonts w:hint="eastAsia" w:ascii="仿宋_GB2312" w:hAnsi="Calibri" w:cs="Times New Roman"/>
          <w:bCs/>
          <w:color w:val="000000" w:themeColor="text1"/>
          <w:szCs w:val="32"/>
          <w14:textFill>
            <w14:solidFill>
              <w14:schemeClr w14:val="tx1"/>
            </w14:solidFill>
          </w14:textFill>
        </w:rPr>
        <w:t>，提供信息、技术、培训等服务，</w:t>
      </w:r>
      <w:r>
        <w:rPr>
          <w:rFonts w:hint="eastAsia" w:ascii="仿宋_GB2312" w:hAnsi="Calibri" w:cs="Times New Roman"/>
          <w:color w:val="000000" w:themeColor="text1"/>
          <w:szCs w:val="32"/>
          <w14:textFill>
            <w14:solidFill>
              <w14:schemeClr w14:val="tx1"/>
            </w14:solidFill>
          </w14:textFill>
        </w:rPr>
        <w:t>开展政策宣传、标准推广等活动。</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第七十五条【企业自治】</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人工智能企业应当将遵守伦理规范纳入本单位职业规范要求，并将伦理安全风险教育、法律法规教育纳入本单位入职培训、岗位培训的内容。</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Calibri" w:hAnsi="Calibri" w:cs="Times New Roman"/>
          <w:color w:val="000000" w:themeColor="text1"/>
          <w:spacing w:val="-6"/>
          <w14:textFill>
            <w14:solidFill>
              <w14:schemeClr w14:val="tx1"/>
            </w14:solidFill>
          </w14:textFill>
        </w:rPr>
      </w:pPr>
      <w:r>
        <w:rPr>
          <w:rFonts w:hint="eastAsia" w:ascii="Calibri" w:hAnsi="Calibri" w:cs="Times New Roman"/>
          <w:color w:val="000000" w:themeColor="text1"/>
          <w:spacing w:val="-6"/>
          <w14:textFill>
            <w14:solidFill>
              <w14:schemeClr w14:val="tx1"/>
            </w14:solidFill>
          </w14:textFill>
        </w:rPr>
        <w:t>鼓励人工智能企业利用技术创新、技术对抗等方式，防范人工智能产品和服务可能出现的伦理安全风险和合规风险。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第七十六条【风险评估】</w:t>
      </w:r>
      <w:r>
        <w:rPr>
          <w:rFonts w:hint="eastAsia" w:ascii="仿宋_GB2312" w:hAnsi="Calibri" w:cs="Times New Roman"/>
          <w:color w:val="000000" w:themeColor="text1"/>
          <w:szCs w:val="32"/>
          <w14:textFill>
            <w14:solidFill>
              <w14:schemeClr w14:val="tx1"/>
            </w14:solidFill>
          </w14:textFill>
        </w:rPr>
        <w:t xml:space="preserve"> </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从事人工智能研究和应用的组织或者个人，应当遵守人工智能伦理安全规范，充分认识人工智能伦理安全风险，在合理范围内开展相关活动，对相关研究、生产或者提供的服务履行伦理审查和风险评估职责，对下列伦理安全风险进行评估：</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（一）人工智能的行为和影响超出事先预设、理解和可控范围，对社会价值等方面产生负面影响的风险；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（二）使用不合理，包括滥用、误用等导致的风险；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（三）对公民基本权利，包括人身、财产、隐私等造成侵害或者产生负面影响的风险；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（四）对特定群体的判断影响公平公正，造成权利侵害或者负面影响的风险；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（五）因人工智能产品和服务对社会信任、社会价值等方面产生负面影响的风险。</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bCs/>
          <w:strike/>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鼓励人工智能企业设立伦理风险岗位或者委托专业机构，开展前款工作。</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第七十七条【</w:t>
      </w:r>
      <w:r>
        <w:rPr>
          <w:rFonts w:ascii="Calibri" w:hAnsi="Calibri" w:eastAsia="黑体" w:cs="Times New Roman"/>
          <w:bCs/>
          <w:color w:val="000000" w:themeColor="text1"/>
          <w:szCs w:val="32"/>
          <w14:textFill>
            <w14:solidFill>
              <w14:schemeClr w14:val="tx1"/>
            </w14:solidFill>
          </w14:textFill>
        </w:rPr>
        <w:t>社会</w:t>
      </w:r>
      <w:r>
        <w:rPr>
          <w:rFonts w:hint="eastAsia" w:ascii="Calibri" w:hAnsi="Calibri" w:eastAsia="黑体" w:cs="Times New Roman"/>
          <w:bCs/>
          <w:color w:val="000000" w:themeColor="text1"/>
          <w:szCs w:val="32"/>
          <w14:textFill>
            <w14:solidFill>
              <w14:schemeClr w14:val="tx1"/>
            </w14:solidFill>
          </w14:textFill>
        </w:rPr>
        <w:t xml:space="preserve">监督】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鼓励和支持其他社会组织和个人开展人工智能</w:t>
      </w:r>
      <w:r>
        <w:rPr>
          <w:rFonts w:hint="eastAsia" w:ascii="仿宋_GB2312" w:hAnsi="黑体" w:cs="Times New Roman"/>
          <w:bCs/>
          <w:color w:val="000000" w:themeColor="text1"/>
          <w:szCs w:val="32"/>
          <w14:textFill>
            <w14:solidFill>
              <w14:schemeClr w14:val="tx1"/>
            </w14:solidFill>
          </w14:textFill>
        </w:rPr>
        <w:t>研究和应用</w:t>
      </w:r>
      <w:r>
        <w:rPr>
          <w:rFonts w:hint="eastAsia" w:ascii="仿宋_GB2312" w:hAnsi="Calibri" w:cs="Times New Roman"/>
          <w:bCs/>
          <w:color w:val="000000" w:themeColor="text1"/>
          <w:szCs w:val="32"/>
          <w14:textFill>
            <w14:solidFill>
              <w14:schemeClr w14:val="tx1"/>
            </w14:solidFill>
          </w14:textFill>
        </w:rPr>
        <w:t>监督活动，向市场监管部门、行业组织等举报违反法律、法规以及人工智能伦理安全规范的行为。</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color w:val="000000" w:themeColor="text1"/>
          <w:szCs w:val="32"/>
          <w14:textFill>
            <w14:solidFill>
              <w14:schemeClr w14:val="tx1"/>
            </w14:solidFill>
          </w14:textFill>
        </w:rPr>
        <w:t>第七十八条【禁止行为】</w:t>
      </w:r>
      <w:r>
        <w:rPr>
          <w:rFonts w:ascii="Calibri" w:hAnsi="Calibri" w:eastAsia="黑体"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开展人工智能研究和应用活动，不得从</w:t>
      </w:r>
      <w:r>
        <w:rPr>
          <w:rFonts w:hint="eastAsia" w:ascii="仿宋_GB2312" w:hAnsi="Calibri" w:cs="Times New Roman"/>
          <w:bCs/>
          <w:color w:val="000000" w:themeColor="text1"/>
          <w:szCs w:val="32"/>
          <w14:textFill>
            <w14:solidFill>
              <w14:schemeClr w14:val="tx1"/>
            </w14:solidFill>
          </w14:textFill>
        </w:rPr>
        <w:t>事下列行为：</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（一）侵犯个人隐私和个人信息保护；</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（二）提供危害国家和社会公共安全的产品和服务；</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（三）提供</w:t>
      </w:r>
      <w:r>
        <w:rPr>
          <w:rFonts w:ascii="仿宋_GB2312" w:hAnsi="黑体" w:cs="Times New Roman"/>
          <w:color w:val="000000" w:themeColor="text1"/>
          <w:szCs w:val="32"/>
          <w14:textFill>
            <w14:solidFill>
              <w14:schemeClr w14:val="tx1"/>
            </w14:solidFill>
          </w14:textFill>
        </w:rPr>
        <w:t>危害人身安全的产品</w:t>
      </w:r>
      <w:r>
        <w:rPr>
          <w:rFonts w:hint="eastAsia" w:ascii="仿宋_GB2312" w:hAnsi="黑体" w:cs="Times New Roman"/>
          <w:color w:val="000000" w:themeColor="text1"/>
          <w:szCs w:val="32"/>
          <w14:textFill>
            <w14:solidFill>
              <w14:schemeClr w14:val="tx1"/>
            </w14:solidFill>
          </w14:textFill>
        </w:rPr>
        <w:t>和</w:t>
      </w:r>
      <w:r>
        <w:rPr>
          <w:rFonts w:ascii="仿宋_GB2312" w:hAnsi="黑体" w:cs="Times New Roman"/>
          <w:color w:val="000000" w:themeColor="text1"/>
          <w:szCs w:val="32"/>
          <w14:textFill>
            <w14:solidFill>
              <w14:schemeClr w14:val="tx1"/>
            </w14:solidFill>
          </w14:textFill>
        </w:rPr>
        <w:t>服务</w:t>
      </w:r>
      <w:r>
        <w:rPr>
          <w:rFonts w:hint="eastAsia" w:ascii="仿宋_GB2312" w:hAnsi="黑体"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（四）因人种、性别、国籍、年龄和宗教信仰等歧视用户；</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（五）利用算法技术根据用户的习惯、偏好、支付能力实施价格歧视或者消费欺诈等侵害消费者权益的行为；</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（六）利用深度伪造和合成技术从事禁止行为；</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（七）其他</w:t>
      </w:r>
      <w:r>
        <w:rPr>
          <w:rFonts w:ascii="仿宋_GB2312" w:hAnsi="Calibri" w:cs="Times New Roman"/>
          <w:color w:val="000000" w:themeColor="text1"/>
          <w:szCs w:val="32"/>
          <w14:textFill>
            <w14:solidFill>
              <w14:schemeClr w14:val="tx1"/>
            </w14:solidFill>
          </w14:textFill>
        </w:rPr>
        <w:t>违反有关法律法规和</w:t>
      </w:r>
      <w:r>
        <w:rPr>
          <w:rFonts w:hint="eastAsia" w:ascii="仿宋_GB2312" w:hAnsi="Calibri" w:cs="Times New Roman"/>
          <w:color w:val="000000" w:themeColor="text1"/>
          <w:szCs w:val="32"/>
          <w14:textFill>
            <w14:solidFill>
              <w14:schemeClr w14:val="tx1"/>
            </w14:solidFill>
          </w14:textFill>
        </w:rPr>
        <w:t>社会伦理规范的行为。</w:t>
      </w:r>
    </w:p>
    <w:p>
      <w:pPr>
        <w:keepNext w:val="0"/>
        <w:keepLines w:val="0"/>
        <w:pageBreakBefore w:val="0"/>
        <w:widowControl w:val="0"/>
        <w:kinsoku/>
        <w:wordWrap/>
        <w:overflowPunct w:val="0"/>
        <w:topLinePunct w:val="0"/>
        <w:autoSpaceDE/>
        <w:autoSpaceDN/>
        <w:bidi w:val="0"/>
        <w:adjustRightInd/>
        <w:snapToGrid/>
        <w:spacing w:line="560" w:lineRule="exact"/>
        <w:ind w:firstLine="707" w:firstLineChars="221"/>
        <w:textAlignment w:val="auto"/>
        <w:rPr>
          <w:rFonts w:ascii="仿宋_GB2312" w:hAnsi="Calibri" w:cs="Times New Roman"/>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第七十九条【反垄断】</w:t>
      </w:r>
      <w:r>
        <w:rPr>
          <w:rFonts w:hint="eastAsia" w:ascii="仿宋_GB2312" w:hAnsi="Calibri" w:cs="Times New Roman"/>
          <w:color w:val="000000" w:themeColor="text1"/>
          <w:szCs w:val="32"/>
          <w14:textFill>
            <w14:solidFill>
              <w14:schemeClr w14:val="tx1"/>
            </w14:solidFill>
          </w14:textFill>
        </w:rPr>
        <w:t xml:space="preserve"> </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从事人工智能研究和应用的组织，基于数据、算法等资源从事垄断行为，排除或者限制竞争的，依法承担相应的法律责任。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第八十条【市场秩序】</w:t>
      </w:r>
      <w:r>
        <w:rPr>
          <w:rFonts w:hint="eastAsia" w:ascii="仿宋_GB2312" w:hAnsi="Calibri"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市场监督管理部门应当维护市场公平竞争秩序，</w:t>
      </w:r>
      <w:r>
        <w:rPr>
          <w:rFonts w:ascii="仿宋_GB2312" w:hAnsi="Calibri" w:cs="Times New Roman"/>
          <w:bCs/>
          <w:color w:val="000000" w:themeColor="text1"/>
          <w:szCs w:val="32"/>
          <w14:textFill>
            <w14:solidFill>
              <w14:schemeClr w14:val="tx1"/>
            </w14:solidFill>
          </w14:textFill>
        </w:rPr>
        <w:t>对涉嫌垄断行为和不正当竞争行为开展调查</w:t>
      </w:r>
      <w:r>
        <w:rPr>
          <w:rFonts w:hint="eastAsia" w:ascii="仿宋_GB2312" w:hAnsi="Calibri" w:cs="Times New Roman"/>
          <w:bCs/>
          <w:color w:val="000000" w:themeColor="text1"/>
          <w:szCs w:val="32"/>
          <w14:textFill>
            <w14:solidFill>
              <w14:schemeClr w14:val="tx1"/>
            </w14:solidFill>
          </w14:textFill>
        </w:rPr>
        <w:t>，</w:t>
      </w:r>
      <w:r>
        <w:rPr>
          <w:rFonts w:ascii="仿宋_GB2312" w:hAnsi="Calibri" w:cs="Times New Roman"/>
          <w:bCs/>
          <w:color w:val="000000" w:themeColor="text1"/>
          <w:szCs w:val="32"/>
          <w14:textFill>
            <w14:solidFill>
              <w14:schemeClr w14:val="tx1"/>
            </w14:solidFill>
          </w14:textFill>
        </w:rPr>
        <w:t>并依法进行处理</w:t>
      </w:r>
      <w:r>
        <w:rPr>
          <w:rFonts w:hint="eastAsia" w:ascii="仿宋_GB2312" w:hAnsi="Calibri" w:cs="Times New Roman"/>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第八十一条【追溯机制】</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从事人工智能研究和应用的</w:t>
      </w:r>
      <w:r>
        <w:rPr>
          <w:rFonts w:hint="eastAsia" w:ascii="仿宋_GB2312" w:hAnsi="Calibri" w:cs="Times New Roman"/>
          <w:bCs/>
          <w:color w:val="000000" w:themeColor="text1"/>
          <w:spacing w:val="-6"/>
          <w:szCs w:val="32"/>
          <w14:textFill>
            <w14:solidFill>
              <w14:schemeClr w14:val="tx1"/>
            </w14:solidFill>
          </w14:textFill>
        </w:rPr>
        <w:t>组织或者个人应当逐步完善人工智能</w:t>
      </w:r>
      <w:r>
        <w:rPr>
          <w:rFonts w:ascii="仿宋_GB2312" w:hAnsi="Calibri" w:cs="Times New Roman"/>
          <w:bCs/>
          <w:color w:val="000000" w:themeColor="text1"/>
          <w:spacing w:val="-6"/>
          <w:szCs w:val="32"/>
          <w14:textFill>
            <w14:solidFill>
              <w14:schemeClr w14:val="tx1"/>
            </w14:solidFill>
          </w14:textFill>
        </w:rPr>
        <w:t>追</w:t>
      </w:r>
      <w:r>
        <w:rPr>
          <w:rFonts w:hint="eastAsia" w:ascii="仿宋_GB2312" w:hAnsi="Calibri" w:cs="Times New Roman"/>
          <w:bCs/>
          <w:color w:val="000000" w:themeColor="text1"/>
          <w:spacing w:val="-6"/>
          <w:szCs w:val="32"/>
          <w14:textFill>
            <w14:solidFill>
              <w14:schemeClr w14:val="tx1"/>
            </w14:solidFill>
          </w14:textFill>
        </w:rPr>
        <w:t>溯机制，提高人工智能训练数据集和研发、决策以及与自然人互动过程的透明度。</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Calibri" w:hAnsi="Calibri" w:cs="Times New Roman"/>
          <w:color w:val="000000" w:themeColor="text1"/>
          <w14:textFill>
            <w14:solidFill>
              <w14:schemeClr w14:val="tx1"/>
            </w14:solidFill>
          </w14:textFill>
        </w:rPr>
      </w:pPr>
      <w:r>
        <w:rPr>
          <w:rFonts w:hint="eastAsia" w:eastAsia="黑体" w:cs="Times New Roman"/>
          <w:color w:val="000000" w:themeColor="text1"/>
          <w:szCs w:val="32"/>
          <w14:textFill>
            <w14:solidFill>
              <w14:schemeClr w14:val="tx1"/>
            </w14:solidFill>
          </w14:textFill>
        </w:rPr>
        <w:t xml:space="preserve">第八十二条【法律责任】 </w:t>
      </w:r>
      <w:r>
        <w:rPr>
          <w:rFonts w:eastAsia="黑体" w:cs="Times New Roman"/>
          <w:color w:val="000000" w:themeColor="text1"/>
          <w:szCs w:val="32"/>
          <w14:textFill>
            <w14:solidFill>
              <w14:schemeClr w14:val="tx1"/>
            </w14:solidFill>
          </w14:textFill>
        </w:rPr>
        <w:t xml:space="preserve"> </w:t>
      </w:r>
      <w:r>
        <w:rPr>
          <w:rFonts w:hint="eastAsia" w:ascii="Calibri" w:hAnsi="Calibri" w:cs="Times New Roman"/>
          <w:color w:val="000000" w:themeColor="text1"/>
          <w14:textFill>
            <w14:solidFill>
              <w14:schemeClr w14:val="tx1"/>
            </w14:solidFill>
          </w14:textFill>
        </w:rPr>
        <w:t>违反本条例第七十八条规定，滥用数据、算法和技术，危害国家安全、社会公共利益、侵犯个人隐私、侵犯知识产权的，依法承担相应责任，构成犯罪的，依法追究刑事责任。</w:t>
      </w: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hint="eastAsia" w:eastAsia="黑体" w:asciiTheme="majorHAnsi" w:hAnsiTheme="majorHAnsi" w:cstheme="majorBid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第七章</w:t>
      </w:r>
      <w:r>
        <w:rPr>
          <w:rFonts w:hint="eastAsia" w:eastAsia="黑体" w:asciiTheme="majorHAnsi" w:hAnsiTheme="majorHAnsi" w:cstheme="majorBidi"/>
          <w:bCs/>
          <w:color w:val="000000" w:themeColor="text1"/>
          <w:szCs w:val="32"/>
          <w:lang w:val="en-US" w:eastAsia="zh-CN"/>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附则</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宋体" w:hAnsi="宋体" w:eastAsia="宋体" w:cs="Times New Roman"/>
          <w:bCs/>
          <w:color w:val="000000" w:themeColor="text1"/>
          <w:sz w:val="44"/>
          <w:szCs w:val="44"/>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第八十三</w:t>
      </w:r>
      <w:r>
        <w:rPr>
          <w:rFonts w:eastAsia="黑体" w:cs="Times New Roman"/>
          <w:bCs/>
          <w:color w:val="000000" w:themeColor="text1"/>
          <w:szCs w:val="32"/>
          <w14:textFill>
            <w14:solidFill>
              <w14:schemeClr w14:val="tx1"/>
            </w14:solidFill>
          </w14:textFill>
        </w:rPr>
        <w:t>条</w:t>
      </w:r>
      <w:r>
        <w:rPr>
          <w:rFonts w:hint="eastAsia" w:eastAsia="黑体" w:cs="Times New Roman"/>
          <w:bCs/>
          <w:color w:val="000000" w:themeColor="text1"/>
          <w:szCs w:val="32"/>
          <w14:textFill>
            <w14:solidFill>
              <w14:schemeClr w14:val="tx1"/>
            </w14:solidFill>
          </w14:textFill>
        </w:rPr>
        <w:t>【施行日期】</w:t>
      </w:r>
      <w:r>
        <w:rPr>
          <w:rFonts w:eastAsia="黑体" w:cs="Times New Roman" w:asci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pacing w:val="-6"/>
          <w:szCs w:val="32"/>
          <w14:textFill>
            <w14:solidFill>
              <w14:schemeClr w14:val="tx1"/>
            </w14:solidFill>
          </w14:textFill>
        </w:rPr>
        <w:t>本条例自  年  月  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11D8E"/>
    <w:multiLevelType w:val="singleLevel"/>
    <w:tmpl w:val="C4E11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1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41"/>
    <w:rsid w:val="000031C5"/>
    <w:rsid w:val="00005A71"/>
    <w:rsid w:val="0000775D"/>
    <w:rsid w:val="000108C9"/>
    <w:rsid w:val="0001154B"/>
    <w:rsid w:val="000121E0"/>
    <w:rsid w:val="00012B84"/>
    <w:rsid w:val="0001394D"/>
    <w:rsid w:val="00014789"/>
    <w:rsid w:val="0002320F"/>
    <w:rsid w:val="00023B98"/>
    <w:rsid w:val="000261B8"/>
    <w:rsid w:val="00032738"/>
    <w:rsid w:val="00035734"/>
    <w:rsid w:val="00036B5A"/>
    <w:rsid w:val="00037F25"/>
    <w:rsid w:val="0004184A"/>
    <w:rsid w:val="000421D1"/>
    <w:rsid w:val="00050B00"/>
    <w:rsid w:val="000536EC"/>
    <w:rsid w:val="0005403E"/>
    <w:rsid w:val="00054362"/>
    <w:rsid w:val="000565B0"/>
    <w:rsid w:val="00062703"/>
    <w:rsid w:val="0006289A"/>
    <w:rsid w:val="00062A73"/>
    <w:rsid w:val="00063B53"/>
    <w:rsid w:val="000659FD"/>
    <w:rsid w:val="000705A2"/>
    <w:rsid w:val="00073A7B"/>
    <w:rsid w:val="00074341"/>
    <w:rsid w:val="00075599"/>
    <w:rsid w:val="00075FFC"/>
    <w:rsid w:val="00081B2D"/>
    <w:rsid w:val="0008724A"/>
    <w:rsid w:val="000876B2"/>
    <w:rsid w:val="00087EC4"/>
    <w:rsid w:val="00091338"/>
    <w:rsid w:val="00091707"/>
    <w:rsid w:val="0009589A"/>
    <w:rsid w:val="000A5CA2"/>
    <w:rsid w:val="000A7744"/>
    <w:rsid w:val="000B4191"/>
    <w:rsid w:val="000B6F60"/>
    <w:rsid w:val="000B7DF8"/>
    <w:rsid w:val="000C21BE"/>
    <w:rsid w:val="000C672E"/>
    <w:rsid w:val="000D0882"/>
    <w:rsid w:val="000D210B"/>
    <w:rsid w:val="000D33BA"/>
    <w:rsid w:val="000D4E6C"/>
    <w:rsid w:val="000D52E1"/>
    <w:rsid w:val="000E17CD"/>
    <w:rsid w:val="000E2E9B"/>
    <w:rsid w:val="000E4604"/>
    <w:rsid w:val="000E50A7"/>
    <w:rsid w:val="000F0662"/>
    <w:rsid w:val="000F09FC"/>
    <w:rsid w:val="000F1D44"/>
    <w:rsid w:val="00103B94"/>
    <w:rsid w:val="001061E7"/>
    <w:rsid w:val="00112874"/>
    <w:rsid w:val="001161CB"/>
    <w:rsid w:val="0012187C"/>
    <w:rsid w:val="00122F09"/>
    <w:rsid w:val="001259A7"/>
    <w:rsid w:val="00125A55"/>
    <w:rsid w:val="00130707"/>
    <w:rsid w:val="001307A8"/>
    <w:rsid w:val="001323A6"/>
    <w:rsid w:val="0013598D"/>
    <w:rsid w:val="0013686B"/>
    <w:rsid w:val="00140BA1"/>
    <w:rsid w:val="00141562"/>
    <w:rsid w:val="00141BE1"/>
    <w:rsid w:val="00142B45"/>
    <w:rsid w:val="00155779"/>
    <w:rsid w:val="00155807"/>
    <w:rsid w:val="00156994"/>
    <w:rsid w:val="00156E26"/>
    <w:rsid w:val="00161BDF"/>
    <w:rsid w:val="00162940"/>
    <w:rsid w:val="0016537E"/>
    <w:rsid w:val="00173091"/>
    <w:rsid w:val="001743A3"/>
    <w:rsid w:val="0018012B"/>
    <w:rsid w:val="00182508"/>
    <w:rsid w:val="00182ED9"/>
    <w:rsid w:val="0019495C"/>
    <w:rsid w:val="00194B3D"/>
    <w:rsid w:val="0019542C"/>
    <w:rsid w:val="001A2963"/>
    <w:rsid w:val="001A7AF8"/>
    <w:rsid w:val="001B3B3E"/>
    <w:rsid w:val="001B46E7"/>
    <w:rsid w:val="001B5B9D"/>
    <w:rsid w:val="001C1473"/>
    <w:rsid w:val="001C246B"/>
    <w:rsid w:val="001C47E6"/>
    <w:rsid w:val="001C5421"/>
    <w:rsid w:val="001C6310"/>
    <w:rsid w:val="001C7376"/>
    <w:rsid w:val="001C7CB0"/>
    <w:rsid w:val="001D2C30"/>
    <w:rsid w:val="001D77CB"/>
    <w:rsid w:val="001D7D68"/>
    <w:rsid w:val="001E0B56"/>
    <w:rsid w:val="001E24E8"/>
    <w:rsid w:val="001E395D"/>
    <w:rsid w:val="002010DC"/>
    <w:rsid w:val="00202B71"/>
    <w:rsid w:val="00204EA1"/>
    <w:rsid w:val="002058B8"/>
    <w:rsid w:val="00207368"/>
    <w:rsid w:val="00213EC7"/>
    <w:rsid w:val="00214835"/>
    <w:rsid w:val="002156FF"/>
    <w:rsid w:val="002219D0"/>
    <w:rsid w:val="00223945"/>
    <w:rsid w:val="00226874"/>
    <w:rsid w:val="00226B67"/>
    <w:rsid w:val="002275FF"/>
    <w:rsid w:val="002279D2"/>
    <w:rsid w:val="00235047"/>
    <w:rsid w:val="00240C13"/>
    <w:rsid w:val="002428BE"/>
    <w:rsid w:val="00242F9C"/>
    <w:rsid w:val="0024420E"/>
    <w:rsid w:val="00247D2F"/>
    <w:rsid w:val="00253E85"/>
    <w:rsid w:val="00260700"/>
    <w:rsid w:val="00264D23"/>
    <w:rsid w:val="002665A6"/>
    <w:rsid w:val="00274E6A"/>
    <w:rsid w:val="002811FA"/>
    <w:rsid w:val="0028539B"/>
    <w:rsid w:val="00285772"/>
    <w:rsid w:val="002903F9"/>
    <w:rsid w:val="002A2147"/>
    <w:rsid w:val="002A2FC3"/>
    <w:rsid w:val="002B1B50"/>
    <w:rsid w:val="002B59FE"/>
    <w:rsid w:val="002C2560"/>
    <w:rsid w:val="002C3B2A"/>
    <w:rsid w:val="002C68D4"/>
    <w:rsid w:val="002C7DA7"/>
    <w:rsid w:val="002D38DC"/>
    <w:rsid w:val="002D68B4"/>
    <w:rsid w:val="002D7894"/>
    <w:rsid w:val="002E0891"/>
    <w:rsid w:val="002F165A"/>
    <w:rsid w:val="002F1F48"/>
    <w:rsid w:val="002F2D97"/>
    <w:rsid w:val="002F3744"/>
    <w:rsid w:val="002F3E29"/>
    <w:rsid w:val="00307459"/>
    <w:rsid w:val="00310F10"/>
    <w:rsid w:val="00310F20"/>
    <w:rsid w:val="00311FAF"/>
    <w:rsid w:val="00313A4C"/>
    <w:rsid w:val="003228B5"/>
    <w:rsid w:val="003274A5"/>
    <w:rsid w:val="0033609F"/>
    <w:rsid w:val="00340A68"/>
    <w:rsid w:val="00340C87"/>
    <w:rsid w:val="003411AC"/>
    <w:rsid w:val="003439A0"/>
    <w:rsid w:val="00343F5F"/>
    <w:rsid w:val="00364DEB"/>
    <w:rsid w:val="00367112"/>
    <w:rsid w:val="00381E09"/>
    <w:rsid w:val="00387C42"/>
    <w:rsid w:val="00390CBB"/>
    <w:rsid w:val="00390FBF"/>
    <w:rsid w:val="00397524"/>
    <w:rsid w:val="003A3E7F"/>
    <w:rsid w:val="003A7C7A"/>
    <w:rsid w:val="003B10C8"/>
    <w:rsid w:val="003B2004"/>
    <w:rsid w:val="003B30B6"/>
    <w:rsid w:val="003B3B7E"/>
    <w:rsid w:val="003B730C"/>
    <w:rsid w:val="003B7DEE"/>
    <w:rsid w:val="003C03A0"/>
    <w:rsid w:val="003C15A5"/>
    <w:rsid w:val="003C461F"/>
    <w:rsid w:val="003C7C96"/>
    <w:rsid w:val="003D33E3"/>
    <w:rsid w:val="003D747E"/>
    <w:rsid w:val="003E1DD4"/>
    <w:rsid w:val="003E1DDE"/>
    <w:rsid w:val="003E6A35"/>
    <w:rsid w:val="003E6D71"/>
    <w:rsid w:val="003E714C"/>
    <w:rsid w:val="003E7935"/>
    <w:rsid w:val="003F7F66"/>
    <w:rsid w:val="00404634"/>
    <w:rsid w:val="0040627C"/>
    <w:rsid w:val="00411FDF"/>
    <w:rsid w:val="0041467A"/>
    <w:rsid w:val="004249B7"/>
    <w:rsid w:val="00435058"/>
    <w:rsid w:val="00441267"/>
    <w:rsid w:val="004436B8"/>
    <w:rsid w:val="00444BE6"/>
    <w:rsid w:val="00452BDB"/>
    <w:rsid w:val="00453EF1"/>
    <w:rsid w:val="004568A8"/>
    <w:rsid w:val="004615D5"/>
    <w:rsid w:val="00463948"/>
    <w:rsid w:val="00465D27"/>
    <w:rsid w:val="004728B6"/>
    <w:rsid w:val="00474B7E"/>
    <w:rsid w:val="00474D48"/>
    <w:rsid w:val="00474DB4"/>
    <w:rsid w:val="00474EE6"/>
    <w:rsid w:val="00475B26"/>
    <w:rsid w:val="00482B94"/>
    <w:rsid w:val="00485B29"/>
    <w:rsid w:val="00490F1A"/>
    <w:rsid w:val="00491319"/>
    <w:rsid w:val="00491749"/>
    <w:rsid w:val="00491A95"/>
    <w:rsid w:val="00492DC9"/>
    <w:rsid w:val="00497D19"/>
    <w:rsid w:val="004A1AD5"/>
    <w:rsid w:val="004A1B74"/>
    <w:rsid w:val="004A4385"/>
    <w:rsid w:val="004B062D"/>
    <w:rsid w:val="004B4176"/>
    <w:rsid w:val="004B512C"/>
    <w:rsid w:val="004B73A1"/>
    <w:rsid w:val="004C30CA"/>
    <w:rsid w:val="004C320C"/>
    <w:rsid w:val="004C3730"/>
    <w:rsid w:val="004C5F1B"/>
    <w:rsid w:val="004D0D98"/>
    <w:rsid w:val="004D18F5"/>
    <w:rsid w:val="004D428C"/>
    <w:rsid w:val="004D44F7"/>
    <w:rsid w:val="004D7501"/>
    <w:rsid w:val="004E1F57"/>
    <w:rsid w:val="004F1222"/>
    <w:rsid w:val="00501C95"/>
    <w:rsid w:val="00512117"/>
    <w:rsid w:val="00520A56"/>
    <w:rsid w:val="00521570"/>
    <w:rsid w:val="005249D2"/>
    <w:rsid w:val="00527353"/>
    <w:rsid w:val="0053430E"/>
    <w:rsid w:val="005355E3"/>
    <w:rsid w:val="0054104C"/>
    <w:rsid w:val="00541C22"/>
    <w:rsid w:val="00542634"/>
    <w:rsid w:val="0054315C"/>
    <w:rsid w:val="005462E2"/>
    <w:rsid w:val="005474C7"/>
    <w:rsid w:val="005478C9"/>
    <w:rsid w:val="005550F5"/>
    <w:rsid w:val="00561C12"/>
    <w:rsid w:val="0056211A"/>
    <w:rsid w:val="005623AA"/>
    <w:rsid w:val="005701D1"/>
    <w:rsid w:val="0058216F"/>
    <w:rsid w:val="005826C5"/>
    <w:rsid w:val="00583A6B"/>
    <w:rsid w:val="00583D75"/>
    <w:rsid w:val="00591444"/>
    <w:rsid w:val="0059515A"/>
    <w:rsid w:val="005A258F"/>
    <w:rsid w:val="005B6BF6"/>
    <w:rsid w:val="005C1A58"/>
    <w:rsid w:val="005D4CAF"/>
    <w:rsid w:val="005E3B86"/>
    <w:rsid w:val="005E67C3"/>
    <w:rsid w:val="005F16B2"/>
    <w:rsid w:val="005F5E9A"/>
    <w:rsid w:val="0060329F"/>
    <w:rsid w:val="00606508"/>
    <w:rsid w:val="006129D0"/>
    <w:rsid w:val="006133C7"/>
    <w:rsid w:val="006143D9"/>
    <w:rsid w:val="006203E5"/>
    <w:rsid w:val="00620B74"/>
    <w:rsid w:val="00622846"/>
    <w:rsid w:val="00625FA2"/>
    <w:rsid w:val="0063321D"/>
    <w:rsid w:val="00635AC2"/>
    <w:rsid w:val="00637D6C"/>
    <w:rsid w:val="00641712"/>
    <w:rsid w:val="0064263C"/>
    <w:rsid w:val="0064341C"/>
    <w:rsid w:val="00645457"/>
    <w:rsid w:val="006468C3"/>
    <w:rsid w:val="00646C3A"/>
    <w:rsid w:val="00651B38"/>
    <w:rsid w:val="00674D98"/>
    <w:rsid w:val="00682FED"/>
    <w:rsid w:val="00685D47"/>
    <w:rsid w:val="006860B7"/>
    <w:rsid w:val="00691A58"/>
    <w:rsid w:val="00694DE9"/>
    <w:rsid w:val="0069791B"/>
    <w:rsid w:val="006A0725"/>
    <w:rsid w:val="006B3033"/>
    <w:rsid w:val="006B3D13"/>
    <w:rsid w:val="006B4765"/>
    <w:rsid w:val="006B512E"/>
    <w:rsid w:val="006B7D5B"/>
    <w:rsid w:val="006C188B"/>
    <w:rsid w:val="006C6D00"/>
    <w:rsid w:val="006D2A45"/>
    <w:rsid w:val="006D5B3B"/>
    <w:rsid w:val="006F2A23"/>
    <w:rsid w:val="007009DE"/>
    <w:rsid w:val="00701317"/>
    <w:rsid w:val="00701DA5"/>
    <w:rsid w:val="00703D78"/>
    <w:rsid w:val="00704B64"/>
    <w:rsid w:val="00707F45"/>
    <w:rsid w:val="00710244"/>
    <w:rsid w:val="00712CC7"/>
    <w:rsid w:val="00715EF4"/>
    <w:rsid w:val="007206A2"/>
    <w:rsid w:val="007206AE"/>
    <w:rsid w:val="00720762"/>
    <w:rsid w:val="00722EF8"/>
    <w:rsid w:val="007257DF"/>
    <w:rsid w:val="00727EBD"/>
    <w:rsid w:val="00732444"/>
    <w:rsid w:val="00732E85"/>
    <w:rsid w:val="0073350D"/>
    <w:rsid w:val="00734E98"/>
    <w:rsid w:val="007448B5"/>
    <w:rsid w:val="007532C2"/>
    <w:rsid w:val="00762ACF"/>
    <w:rsid w:val="00762F2A"/>
    <w:rsid w:val="0076389A"/>
    <w:rsid w:val="00772A29"/>
    <w:rsid w:val="00774DF1"/>
    <w:rsid w:val="00782700"/>
    <w:rsid w:val="007833F1"/>
    <w:rsid w:val="00785F5F"/>
    <w:rsid w:val="00786923"/>
    <w:rsid w:val="00795850"/>
    <w:rsid w:val="007A2BA8"/>
    <w:rsid w:val="007A312A"/>
    <w:rsid w:val="007A447A"/>
    <w:rsid w:val="007A4E5B"/>
    <w:rsid w:val="007B0271"/>
    <w:rsid w:val="007B0548"/>
    <w:rsid w:val="007B1F3D"/>
    <w:rsid w:val="007B23BC"/>
    <w:rsid w:val="007B591D"/>
    <w:rsid w:val="007B76C4"/>
    <w:rsid w:val="007C0203"/>
    <w:rsid w:val="007C264E"/>
    <w:rsid w:val="007C3890"/>
    <w:rsid w:val="007C3969"/>
    <w:rsid w:val="007E0EDD"/>
    <w:rsid w:val="007E3E3D"/>
    <w:rsid w:val="007E7BC8"/>
    <w:rsid w:val="007F5F45"/>
    <w:rsid w:val="007F7D28"/>
    <w:rsid w:val="00803765"/>
    <w:rsid w:val="00807BDC"/>
    <w:rsid w:val="008133ED"/>
    <w:rsid w:val="00821900"/>
    <w:rsid w:val="00823F36"/>
    <w:rsid w:val="00835032"/>
    <w:rsid w:val="00835675"/>
    <w:rsid w:val="00836EBC"/>
    <w:rsid w:val="008370D1"/>
    <w:rsid w:val="0084005F"/>
    <w:rsid w:val="00841E27"/>
    <w:rsid w:val="0084550E"/>
    <w:rsid w:val="008457BD"/>
    <w:rsid w:val="00847A19"/>
    <w:rsid w:val="00854ADA"/>
    <w:rsid w:val="00855160"/>
    <w:rsid w:val="008574A1"/>
    <w:rsid w:val="00857E3C"/>
    <w:rsid w:val="00860EE6"/>
    <w:rsid w:val="0086235B"/>
    <w:rsid w:val="008666B6"/>
    <w:rsid w:val="00867B41"/>
    <w:rsid w:val="00867D6D"/>
    <w:rsid w:val="008751FF"/>
    <w:rsid w:val="00876BD7"/>
    <w:rsid w:val="008813B3"/>
    <w:rsid w:val="008853AA"/>
    <w:rsid w:val="00886701"/>
    <w:rsid w:val="00887748"/>
    <w:rsid w:val="00890A4D"/>
    <w:rsid w:val="008935DE"/>
    <w:rsid w:val="008952D0"/>
    <w:rsid w:val="008A31E5"/>
    <w:rsid w:val="008A5840"/>
    <w:rsid w:val="008A76B5"/>
    <w:rsid w:val="008A7BE8"/>
    <w:rsid w:val="008B5485"/>
    <w:rsid w:val="008B6FDB"/>
    <w:rsid w:val="008C3085"/>
    <w:rsid w:val="008C3DD2"/>
    <w:rsid w:val="008D45B9"/>
    <w:rsid w:val="008D70D3"/>
    <w:rsid w:val="008E2658"/>
    <w:rsid w:val="008E5765"/>
    <w:rsid w:val="008E6057"/>
    <w:rsid w:val="008E789D"/>
    <w:rsid w:val="008F0F3D"/>
    <w:rsid w:val="008F4858"/>
    <w:rsid w:val="00900943"/>
    <w:rsid w:val="00903207"/>
    <w:rsid w:val="009044CB"/>
    <w:rsid w:val="00914C2B"/>
    <w:rsid w:val="0091519C"/>
    <w:rsid w:val="00916FC6"/>
    <w:rsid w:val="00921359"/>
    <w:rsid w:val="0092554E"/>
    <w:rsid w:val="0092730E"/>
    <w:rsid w:val="00930C6A"/>
    <w:rsid w:val="00941310"/>
    <w:rsid w:val="00941980"/>
    <w:rsid w:val="00942A93"/>
    <w:rsid w:val="0094491E"/>
    <w:rsid w:val="00945F69"/>
    <w:rsid w:val="00947C3E"/>
    <w:rsid w:val="009512C7"/>
    <w:rsid w:val="00951525"/>
    <w:rsid w:val="009553EA"/>
    <w:rsid w:val="00956D18"/>
    <w:rsid w:val="00957932"/>
    <w:rsid w:val="009612B6"/>
    <w:rsid w:val="00961A11"/>
    <w:rsid w:val="00962954"/>
    <w:rsid w:val="009631C6"/>
    <w:rsid w:val="00963839"/>
    <w:rsid w:val="00964056"/>
    <w:rsid w:val="009653E4"/>
    <w:rsid w:val="00966A40"/>
    <w:rsid w:val="0097080E"/>
    <w:rsid w:val="00972A5A"/>
    <w:rsid w:val="0097743E"/>
    <w:rsid w:val="009800AD"/>
    <w:rsid w:val="009803E1"/>
    <w:rsid w:val="009856D6"/>
    <w:rsid w:val="00992731"/>
    <w:rsid w:val="0099383B"/>
    <w:rsid w:val="00993B91"/>
    <w:rsid w:val="00993D05"/>
    <w:rsid w:val="00994CCA"/>
    <w:rsid w:val="009975E2"/>
    <w:rsid w:val="009A1520"/>
    <w:rsid w:val="009A156A"/>
    <w:rsid w:val="009A356E"/>
    <w:rsid w:val="009B0985"/>
    <w:rsid w:val="009B462C"/>
    <w:rsid w:val="009C0C18"/>
    <w:rsid w:val="009C0C44"/>
    <w:rsid w:val="009C2AB2"/>
    <w:rsid w:val="009D2529"/>
    <w:rsid w:val="009D2632"/>
    <w:rsid w:val="009D77B9"/>
    <w:rsid w:val="009E02D6"/>
    <w:rsid w:val="009F1AB9"/>
    <w:rsid w:val="009F35AC"/>
    <w:rsid w:val="009F4AC4"/>
    <w:rsid w:val="009F522E"/>
    <w:rsid w:val="009F6104"/>
    <w:rsid w:val="00A001D5"/>
    <w:rsid w:val="00A13F98"/>
    <w:rsid w:val="00A1461C"/>
    <w:rsid w:val="00A22D70"/>
    <w:rsid w:val="00A25D5A"/>
    <w:rsid w:val="00A26617"/>
    <w:rsid w:val="00A26A5A"/>
    <w:rsid w:val="00A274BE"/>
    <w:rsid w:val="00A3036B"/>
    <w:rsid w:val="00A30A2E"/>
    <w:rsid w:val="00A30ABF"/>
    <w:rsid w:val="00A32EA9"/>
    <w:rsid w:val="00A33CCB"/>
    <w:rsid w:val="00A36F1C"/>
    <w:rsid w:val="00A409DD"/>
    <w:rsid w:val="00A417C8"/>
    <w:rsid w:val="00A420CB"/>
    <w:rsid w:val="00A42923"/>
    <w:rsid w:val="00A44A2F"/>
    <w:rsid w:val="00A45580"/>
    <w:rsid w:val="00A45AB6"/>
    <w:rsid w:val="00A4782C"/>
    <w:rsid w:val="00A479BD"/>
    <w:rsid w:val="00A51CBE"/>
    <w:rsid w:val="00A537A3"/>
    <w:rsid w:val="00A55F2E"/>
    <w:rsid w:val="00A57486"/>
    <w:rsid w:val="00A57833"/>
    <w:rsid w:val="00A6036B"/>
    <w:rsid w:val="00A60410"/>
    <w:rsid w:val="00A61281"/>
    <w:rsid w:val="00A619E9"/>
    <w:rsid w:val="00A74838"/>
    <w:rsid w:val="00A74EB0"/>
    <w:rsid w:val="00A750E5"/>
    <w:rsid w:val="00A810BA"/>
    <w:rsid w:val="00A82B35"/>
    <w:rsid w:val="00A83204"/>
    <w:rsid w:val="00A838C9"/>
    <w:rsid w:val="00A84443"/>
    <w:rsid w:val="00A85E5C"/>
    <w:rsid w:val="00A96344"/>
    <w:rsid w:val="00A969BE"/>
    <w:rsid w:val="00AA1F96"/>
    <w:rsid w:val="00AA2E58"/>
    <w:rsid w:val="00AB0CD0"/>
    <w:rsid w:val="00AB2C84"/>
    <w:rsid w:val="00AB705A"/>
    <w:rsid w:val="00AC0068"/>
    <w:rsid w:val="00AC0E07"/>
    <w:rsid w:val="00AC3896"/>
    <w:rsid w:val="00AC55F5"/>
    <w:rsid w:val="00AC6157"/>
    <w:rsid w:val="00AC61E5"/>
    <w:rsid w:val="00AF2AB4"/>
    <w:rsid w:val="00AF2FCF"/>
    <w:rsid w:val="00AF6C19"/>
    <w:rsid w:val="00AF6EDF"/>
    <w:rsid w:val="00B026CA"/>
    <w:rsid w:val="00B05199"/>
    <w:rsid w:val="00B07923"/>
    <w:rsid w:val="00B15335"/>
    <w:rsid w:val="00B16B53"/>
    <w:rsid w:val="00B17041"/>
    <w:rsid w:val="00B20364"/>
    <w:rsid w:val="00B21824"/>
    <w:rsid w:val="00B224A4"/>
    <w:rsid w:val="00B27C85"/>
    <w:rsid w:val="00B3020D"/>
    <w:rsid w:val="00B30261"/>
    <w:rsid w:val="00B40B9F"/>
    <w:rsid w:val="00B420F5"/>
    <w:rsid w:val="00B53D14"/>
    <w:rsid w:val="00B55228"/>
    <w:rsid w:val="00B60F83"/>
    <w:rsid w:val="00B61528"/>
    <w:rsid w:val="00B62245"/>
    <w:rsid w:val="00B62670"/>
    <w:rsid w:val="00B644C3"/>
    <w:rsid w:val="00B879C5"/>
    <w:rsid w:val="00B91132"/>
    <w:rsid w:val="00B919A6"/>
    <w:rsid w:val="00B958D0"/>
    <w:rsid w:val="00B961B4"/>
    <w:rsid w:val="00B9763D"/>
    <w:rsid w:val="00B9782C"/>
    <w:rsid w:val="00BA1997"/>
    <w:rsid w:val="00BA1F56"/>
    <w:rsid w:val="00BA3B11"/>
    <w:rsid w:val="00BB5367"/>
    <w:rsid w:val="00BC0B2B"/>
    <w:rsid w:val="00BC3561"/>
    <w:rsid w:val="00BC7015"/>
    <w:rsid w:val="00BD4DA5"/>
    <w:rsid w:val="00BD5503"/>
    <w:rsid w:val="00BD662E"/>
    <w:rsid w:val="00BE1415"/>
    <w:rsid w:val="00BE1997"/>
    <w:rsid w:val="00BE4777"/>
    <w:rsid w:val="00BE4FED"/>
    <w:rsid w:val="00BF1143"/>
    <w:rsid w:val="00BF3156"/>
    <w:rsid w:val="00BF3CF1"/>
    <w:rsid w:val="00BF47D9"/>
    <w:rsid w:val="00BF7707"/>
    <w:rsid w:val="00C00B48"/>
    <w:rsid w:val="00C010F9"/>
    <w:rsid w:val="00C02B5A"/>
    <w:rsid w:val="00C03215"/>
    <w:rsid w:val="00C03E6E"/>
    <w:rsid w:val="00C0404A"/>
    <w:rsid w:val="00C04589"/>
    <w:rsid w:val="00C05F22"/>
    <w:rsid w:val="00C15C04"/>
    <w:rsid w:val="00C16213"/>
    <w:rsid w:val="00C1654F"/>
    <w:rsid w:val="00C21956"/>
    <w:rsid w:val="00C2549C"/>
    <w:rsid w:val="00C27B52"/>
    <w:rsid w:val="00C32B77"/>
    <w:rsid w:val="00C4003D"/>
    <w:rsid w:val="00C44396"/>
    <w:rsid w:val="00C44F9C"/>
    <w:rsid w:val="00C462D7"/>
    <w:rsid w:val="00C47DD6"/>
    <w:rsid w:val="00C51E2E"/>
    <w:rsid w:val="00C52B55"/>
    <w:rsid w:val="00C540EA"/>
    <w:rsid w:val="00C57262"/>
    <w:rsid w:val="00C60F98"/>
    <w:rsid w:val="00C61D68"/>
    <w:rsid w:val="00C640F3"/>
    <w:rsid w:val="00C6506B"/>
    <w:rsid w:val="00C65EBE"/>
    <w:rsid w:val="00C705A8"/>
    <w:rsid w:val="00C717BE"/>
    <w:rsid w:val="00C71EE8"/>
    <w:rsid w:val="00C77222"/>
    <w:rsid w:val="00C8054B"/>
    <w:rsid w:val="00C80904"/>
    <w:rsid w:val="00C82623"/>
    <w:rsid w:val="00C8372B"/>
    <w:rsid w:val="00C850B1"/>
    <w:rsid w:val="00C85EDF"/>
    <w:rsid w:val="00C872DA"/>
    <w:rsid w:val="00C9238F"/>
    <w:rsid w:val="00C92716"/>
    <w:rsid w:val="00CA3914"/>
    <w:rsid w:val="00CB0F6B"/>
    <w:rsid w:val="00CC112E"/>
    <w:rsid w:val="00CC1F17"/>
    <w:rsid w:val="00CC2F7B"/>
    <w:rsid w:val="00CC5EE7"/>
    <w:rsid w:val="00CC607B"/>
    <w:rsid w:val="00CC793C"/>
    <w:rsid w:val="00CD474E"/>
    <w:rsid w:val="00CD4841"/>
    <w:rsid w:val="00CD6336"/>
    <w:rsid w:val="00CD6FE8"/>
    <w:rsid w:val="00CE6E45"/>
    <w:rsid w:val="00CF3A57"/>
    <w:rsid w:val="00CF5190"/>
    <w:rsid w:val="00CF5DC6"/>
    <w:rsid w:val="00CF692C"/>
    <w:rsid w:val="00CF72C7"/>
    <w:rsid w:val="00D0112B"/>
    <w:rsid w:val="00D076B1"/>
    <w:rsid w:val="00D11036"/>
    <w:rsid w:val="00D15A11"/>
    <w:rsid w:val="00D20B44"/>
    <w:rsid w:val="00D22A33"/>
    <w:rsid w:val="00D23741"/>
    <w:rsid w:val="00D3058B"/>
    <w:rsid w:val="00D330A8"/>
    <w:rsid w:val="00D339F0"/>
    <w:rsid w:val="00D347E9"/>
    <w:rsid w:val="00D34E08"/>
    <w:rsid w:val="00D35D30"/>
    <w:rsid w:val="00D409E2"/>
    <w:rsid w:val="00D43C36"/>
    <w:rsid w:val="00D45FBA"/>
    <w:rsid w:val="00D51C18"/>
    <w:rsid w:val="00D52EE2"/>
    <w:rsid w:val="00D5366B"/>
    <w:rsid w:val="00D60F10"/>
    <w:rsid w:val="00D65495"/>
    <w:rsid w:val="00D67559"/>
    <w:rsid w:val="00D676D4"/>
    <w:rsid w:val="00D716D3"/>
    <w:rsid w:val="00D74054"/>
    <w:rsid w:val="00D74178"/>
    <w:rsid w:val="00D832A5"/>
    <w:rsid w:val="00D83570"/>
    <w:rsid w:val="00D95604"/>
    <w:rsid w:val="00DA4630"/>
    <w:rsid w:val="00DA5142"/>
    <w:rsid w:val="00DA61AA"/>
    <w:rsid w:val="00DB255E"/>
    <w:rsid w:val="00DB35DD"/>
    <w:rsid w:val="00DB7534"/>
    <w:rsid w:val="00DC12A3"/>
    <w:rsid w:val="00DC49B7"/>
    <w:rsid w:val="00DD0079"/>
    <w:rsid w:val="00DE053E"/>
    <w:rsid w:val="00DE3CEA"/>
    <w:rsid w:val="00DE5BC5"/>
    <w:rsid w:val="00DE6C36"/>
    <w:rsid w:val="00DF0B79"/>
    <w:rsid w:val="00DF2EDB"/>
    <w:rsid w:val="00DF5019"/>
    <w:rsid w:val="00DF64AE"/>
    <w:rsid w:val="00E00CA0"/>
    <w:rsid w:val="00E0100D"/>
    <w:rsid w:val="00E01905"/>
    <w:rsid w:val="00E02D7C"/>
    <w:rsid w:val="00E03C71"/>
    <w:rsid w:val="00E07866"/>
    <w:rsid w:val="00E07B2D"/>
    <w:rsid w:val="00E123A8"/>
    <w:rsid w:val="00E12500"/>
    <w:rsid w:val="00E16D39"/>
    <w:rsid w:val="00E16EE4"/>
    <w:rsid w:val="00E20644"/>
    <w:rsid w:val="00E22A46"/>
    <w:rsid w:val="00E22AC6"/>
    <w:rsid w:val="00E252D1"/>
    <w:rsid w:val="00E352F2"/>
    <w:rsid w:val="00E36C72"/>
    <w:rsid w:val="00E409C2"/>
    <w:rsid w:val="00E41A8A"/>
    <w:rsid w:val="00E43724"/>
    <w:rsid w:val="00E43AC8"/>
    <w:rsid w:val="00E44E15"/>
    <w:rsid w:val="00E46871"/>
    <w:rsid w:val="00E52C80"/>
    <w:rsid w:val="00E54BB6"/>
    <w:rsid w:val="00E60BA3"/>
    <w:rsid w:val="00E61688"/>
    <w:rsid w:val="00E65FA9"/>
    <w:rsid w:val="00E73979"/>
    <w:rsid w:val="00E74F2E"/>
    <w:rsid w:val="00E872C4"/>
    <w:rsid w:val="00E916FA"/>
    <w:rsid w:val="00E925B7"/>
    <w:rsid w:val="00E95050"/>
    <w:rsid w:val="00E96B91"/>
    <w:rsid w:val="00EA0AE8"/>
    <w:rsid w:val="00EA0BB1"/>
    <w:rsid w:val="00EA5587"/>
    <w:rsid w:val="00EA5C5E"/>
    <w:rsid w:val="00EA783C"/>
    <w:rsid w:val="00EB1202"/>
    <w:rsid w:val="00EB1CD8"/>
    <w:rsid w:val="00EB4C9F"/>
    <w:rsid w:val="00EB5CA0"/>
    <w:rsid w:val="00EB65BE"/>
    <w:rsid w:val="00EB7E01"/>
    <w:rsid w:val="00EC5596"/>
    <w:rsid w:val="00EE3C86"/>
    <w:rsid w:val="00EE3D0A"/>
    <w:rsid w:val="00EE651B"/>
    <w:rsid w:val="00EF53CB"/>
    <w:rsid w:val="00EF6CC9"/>
    <w:rsid w:val="00F00736"/>
    <w:rsid w:val="00F01556"/>
    <w:rsid w:val="00F02E6A"/>
    <w:rsid w:val="00F034D1"/>
    <w:rsid w:val="00F043D5"/>
    <w:rsid w:val="00F048EB"/>
    <w:rsid w:val="00F04B91"/>
    <w:rsid w:val="00F13243"/>
    <w:rsid w:val="00F13E4C"/>
    <w:rsid w:val="00F16464"/>
    <w:rsid w:val="00F175FB"/>
    <w:rsid w:val="00F244DC"/>
    <w:rsid w:val="00F26DF4"/>
    <w:rsid w:val="00F308A4"/>
    <w:rsid w:val="00F3459B"/>
    <w:rsid w:val="00F41E65"/>
    <w:rsid w:val="00F42A40"/>
    <w:rsid w:val="00F42DA4"/>
    <w:rsid w:val="00F463AD"/>
    <w:rsid w:val="00F51DEB"/>
    <w:rsid w:val="00F5258E"/>
    <w:rsid w:val="00F52781"/>
    <w:rsid w:val="00F56F44"/>
    <w:rsid w:val="00F57C70"/>
    <w:rsid w:val="00F61758"/>
    <w:rsid w:val="00F63B3A"/>
    <w:rsid w:val="00F646BA"/>
    <w:rsid w:val="00F67414"/>
    <w:rsid w:val="00F67829"/>
    <w:rsid w:val="00F67EFC"/>
    <w:rsid w:val="00F83C38"/>
    <w:rsid w:val="00F84806"/>
    <w:rsid w:val="00F952D1"/>
    <w:rsid w:val="00FA03A6"/>
    <w:rsid w:val="00FA3B43"/>
    <w:rsid w:val="00FA4E08"/>
    <w:rsid w:val="00FA665B"/>
    <w:rsid w:val="00FB012C"/>
    <w:rsid w:val="00FB0BC0"/>
    <w:rsid w:val="00FB15F5"/>
    <w:rsid w:val="00FB3C06"/>
    <w:rsid w:val="00FB5A72"/>
    <w:rsid w:val="00FC078E"/>
    <w:rsid w:val="00FC20CE"/>
    <w:rsid w:val="00FC589A"/>
    <w:rsid w:val="00FC5D1D"/>
    <w:rsid w:val="00FD664E"/>
    <w:rsid w:val="00FE1C5B"/>
    <w:rsid w:val="00FE5DF2"/>
    <w:rsid w:val="00FE686E"/>
    <w:rsid w:val="00FF2C91"/>
    <w:rsid w:val="01F204C5"/>
    <w:rsid w:val="066A4D03"/>
    <w:rsid w:val="0A692576"/>
    <w:rsid w:val="0BF22E70"/>
    <w:rsid w:val="103623EB"/>
    <w:rsid w:val="10A920D2"/>
    <w:rsid w:val="12D36AA9"/>
    <w:rsid w:val="141C537A"/>
    <w:rsid w:val="17631A1D"/>
    <w:rsid w:val="1A2955A6"/>
    <w:rsid w:val="21DD5F78"/>
    <w:rsid w:val="25E02457"/>
    <w:rsid w:val="262A68F9"/>
    <w:rsid w:val="293E3807"/>
    <w:rsid w:val="29940CA8"/>
    <w:rsid w:val="2AF44B1A"/>
    <w:rsid w:val="2B681D47"/>
    <w:rsid w:val="2C1C493D"/>
    <w:rsid w:val="2DD1233A"/>
    <w:rsid w:val="302122FF"/>
    <w:rsid w:val="32812A8D"/>
    <w:rsid w:val="33AE4A2A"/>
    <w:rsid w:val="35861353"/>
    <w:rsid w:val="361B4A9B"/>
    <w:rsid w:val="37E51EF5"/>
    <w:rsid w:val="39D06AA3"/>
    <w:rsid w:val="3A5F287F"/>
    <w:rsid w:val="3A9D7DF0"/>
    <w:rsid w:val="3EA47780"/>
    <w:rsid w:val="3F626F64"/>
    <w:rsid w:val="425D68F0"/>
    <w:rsid w:val="4408445C"/>
    <w:rsid w:val="475D781A"/>
    <w:rsid w:val="48404F93"/>
    <w:rsid w:val="4B921005"/>
    <w:rsid w:val="4D6A5205"/>
    <w:rsid w:val="5144097C"/>
    <w:rsid w:val="51600E41"/>
    <w:rsid w:val="529B178A"/>
    <w:rsid w:val="52EE3BED"/>
    <w:rsid w:val="5389165D"/>
    <w:rsid w:val="55603802"/>
    <w:rsid w:val="57A3056C"/>
    <w:rsid w:val="57AE1D14"/>
    <w:rsid w:val="5A8F2C39"/>
    <w:rsid w:val="5CA70FE9"/>
    <w:rsid w:val="5CD16CB8"/>
    <w:rsid w:val="5D722D42"/>
    <w:rsid w:val="5E3B4DA0"/>
    <w:rsid w:val="603C60DD"/>
    <w:rsid w:val="60CB4EDF"/>
    <w:rsid w:val="60DC301B"/>
    <w:rsid w:val="61502B72"/>
    <w:rsid w:val="64634BFB"/>
    <w:rsid w:val="64F8299F"/>
    <w:rsid w:val="658A018B"/>
    <w:rsid w:val="66273905"/>
    <w:rsid w:val="67AA3886"/>
    <w:rsid w:val="67B5633F"/>
    <w:rsid w:val="67D2096E"/>
    <w:rsid w:val="6CD156A3"/>
    <w:rsid w:val="6F511204"/>
    <w:rsid w:val="6FC049A9"/>
    <w:rsid w:val="764E1400"/>
    <w:rsid w:val="78367F6C"/>
    <w:rsid w:val="7B066BCA"/>
    <w:rsid w:val="7CEE38C3"/>
    <w:rsid w:val="7F0F0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3"/>
    <w:basedOn w:val="1"/>
    <w:next w:val="1"/>
    <w:link w:val="15"/>
    <w:unhideWhenUsed/>
    <w:qFormat/>
    <w:uiPriority w:val="9"/>
    <w:pPr>
      <w:outlineLvl w:val="2"/>
    </w:pPr>
    <w:rPr>
      <w:rFonts w:eastAsia="黑体"/>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pPr>
      <w:spacing w:line="540" w:lineRule="exact"/>
      <w:ind w:firstLine="0" w:firstLineChars="0"/>
      <w:jc w:val="center"/>
    </w:pPr>
    <w:rPr>
      <w:rFonts w:ascii="宋体" w:eastAsia="宋体" w:cs="宋体"/>
      <w:b/>
      <w:bCs/>
      <w:sz w:val="44"/>
      <w:szCs w:val="44"/>
    </w:rPr>
  </w:style>
  <w:style w:type="paragraph" w:styleId="3">
    <w:name w:val="Title"/>
    <w:basedOn w:val="1"/>
    <w:next w:val="1"/>
    <w:link w:val="17"/>
    <w:qFormat/>
    <w:uiPriority w:val="10"/>
    <w:pPr>
      <w:spacing w:before="240" w:after="60"/>
      <w:jc w:val="center"/>
      <w:outlineLvl w:val="0"/>
    </w:pPr>
    <w:rPr>
      <w:rFonts w:eastAsia="宋体" w:asciiTheme="majorHAnsi" w:hAnsiTheme="majorHAnsi" w:cstheme="majorBidi"/>
      <w:b/>
      <w:bCs/>
      <w:szCs w:val="32"/>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000000" w:themeColor="text1" w:sz="18" w:space="0"/>
          <w:bottom w:val="single" w:color="000000" w:themeColor="text1" w:sz="18" w:space="0"/>
        </w:tcBorders>
      </w:tcPr>
    </w:tblStylePr>
    <w:tblStylePr w:type="lastRow">
      <w:tcPr>
        <w:tcBorders>
          <w:bottom w:val="single" w:color="000000" w:themeColor="text1" w:sz="18" w:space="0"/>
        </w:tcBorders>
      </w:tcPr>
    </w:tblStylePr>
  </w:style>
  <w:style w:type="table" w:customStyle="1" w:styleId="11">
    <w:name w:val="样式1"/>
    <w:basedOn w:val="8"/>
    <w:qFormat/>
    <w:uiPriority w:val="99"/>
    <w:tblPr>
      <w:tblCellMar>
        <w:top w:w="0" w:type="dxa"/>
        <w:left w:w="108" w:type="dxa"/>
        <w:bottom w:w="0" w:type="dxa"/>
        <w:right w:w="108" w:type="dxa"/>
      </w:tblCellMar>
    </w:tblPr>
    <w:tblStylePr w:type="firstRow">
      <w:tcPr>
        <w:tcBorders>
          <w:top w:val="single" w:color="000000" w:themeColor="text1" w:sz="18" w:space="0"/>
          <w:bottom w:val="single" w:color="000000" w:themeColor="text1" w:sz="4" w:space="0"/>
        </w:tcBorders>
      </w:tcPr>
    </w:tblStylePr>
    <w:tblStylePr w:type="lastRow">
      <w:tcPr>
        <w:tcBorders>
          <w:bottom w:val="single" w:color="000000" w:themeColor="text1" w:sz="18" w:space="0"/>
        </w:tcBorders>
      </w:tcPr>
    </w:tblStyle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标题 3 Char"/>
    <w:basedOn w:val="10"/>
    <w:link w:val="4"/>
    <w:qFormat/>
    <w:uiPriority w:val="9"/>
    <w:rPr>
      <w:rFonts w:eastAsia="黑体"/>
      <w:bCs/>
      <w:szCs w:val="32"/>
    </w:rPr>
  </w:style>
  <w:style w:type="character" w:customStyle="1" w:styleId="16">
    <w:name w:val="正文文本 Char"/>
    <w:basedOn w:val="10"/>
    <w:link w:val="2"/>
    <w:qFormat/>
    <w:uiPriority w:val="99"/>
    <w:rPr>
      <w:rFonts w:ascii="宋体" w:cs="宋体"/>
      <w:b/>
      <w:bCs/>
      <w:kern w:val="2"/>
      <w:sz w:val="44"/>
      <w:szCs w:val="44"/>
    </w:rPr>
  </w:style>
  <w:style w:type="character" w:customStyle="1" w:styleId="17">
    <w:name w:val="标题 Char"/>
    <w:basedOn w:val="10"/>
    <w:link w:val="3"/>
    <w:qFormat/>
    <w:uiPriority w:val="10"/>
    <w:rPr>
      <w:rFonts w:asciiTheme="majorHAnsi" w:hAnsiTheme="majorHAnsi" w:cstheme="majorBidi"/>
      <w:b/>
      <w:bCs/>
      <w:kern w:val="2"/>
      <w:sz w:val="32"/>
      <w:szCs w:val="32"/>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75F8-D7D3-43D4-BF01-37DF244D5A9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19</Pages>
  <Words>9123</Words>
  <Characters>9123</Characters>
  <Lines>131</Lines>
  <Paragraphs>36</Paragraphs>
  <TotalTime>3</TotalTime>
  <ScaleCrop>false</ScaleCrop>
  <LinksUpToDate>false</LinksUpToDate>
  <CharactersWithSpaces>9329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2021-06-07T01:53:00Z</dcterms:created>
  <dc:creator>xuyy</dc:creator>
  <cp:lastModifiedBy>win10</cp:lastModifiedBy>
  <cp:lastPrinted>2021-06-24T07:22:00Z</cp:lastPrinted>
  <dcterms:modified xsi:type="dcterms:W3CDTF">2022-09-07T04:47:57Z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E4F9FAF269EE4E93A003C11E18088D13</vt:lpwstr>
  </property>
</Properties>
</file>