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cs="Times New Roman"/>
          <w:sz w:val="32"/>
          <w:szCs w:val="32"/>
        </w:rPr>
      </w:pPr>
      <w:bookmarkStart w:id="0" w:name="_GoBack"/>
      <w:bookmarkEnd w:id="0"/>
      <w:r>
        <w:rPr>
          <w:rFonts w:hint="eastAsia" w:ascii="黑体" w:hAnsi="黑体" w:eastAsia="黑体" w:cs="黑体"/>
          <w:sz w:val="32"/>
          <w:szCs w:val="32"/>
        </w:rPr>
        <w:t>附件3</w:t>
      </w:r>
    </w:p>
    <w:p>
      <w:pPr>
        <w:jc w:val="center"/>
        <w:rPr>
          <w:rFonts w:ascii="方正小标宋简体" w:hAnsi="文星标宋" w:eastAsia="方正小标宋简体" w:cs="方正小标宋简体"/>
          <w:sz w:val="40"/>
          <w:szCs w:val="40"/>
        </w:rPr>
      </w:pPr>
      <w:r>
        <w:rPr>
          <w:rFonts w:hint="eastAsia" w:ascii="方正小标宋简体" w:hAnsi="文星标宋" w:eastAsia="方正小标宋简体" w:cs="方正小标宋简体"/>
          <w:sz w:val="40"/>
          <w:szCs w:val="40"/>
        </w:rPr>
        <w:t>落实山东省地方层面设定的涉企经营许可事项改革清单（</w:t>
      </w:r>
      <w:r>
        <w:rPr>
          <w:rFonts w:ascii="方正小标宋简体" w:hAnsi="文星标宋" w:eastAsia="方正小标宋简体" w:cs="方正小标宋简体"/>
          <w:sz w:val="40"/>
          <w:szCs w:val="40"/>
        </w:rPr>
        <w:t>2021版）责任分工</w:t>
      </w:r>
    </w:p>
    <w:tbl>
      <w:tblPr>
        <w:tblStyle w:val="4"/>
        <w:tblW w:w="140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325"/>
        <w:gridCol w:w="526"/>
        <w:gridCol w:w="1389"/>
        <w:gridCol w:w="976"/>
        <w:gridCol w:w="1677"/>
        <w:gridCol w:w="926"/>
        <w:gridCol w:w="526"/>
        <w:gridCol w:w="526"/>
        <w:gridCol w:w="526"/>
        <w:gridCol w:w="526"/>
        <w:gridCol w:w="2390"/>
        <w:gridCol w:w="2541"/>
        <w:gridCol w:w="11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70" w:hRule="atLeast"/>
          <w:tblHeader/>
          <w:jc w:val="center"/>
        </w:trPr>
        <w:tc>
          <w:tcPr>
            <w:tcW w:w="375" w:type="dxa"/>
            <w:vMerge w:val="restart"/>
            <w:shd w:val="clear" w:color="auto" w:fill="auto"/>
            <w:vAlign w:val="center"/>
          </w:tcPr>
          <w:p>
            <w:pPr>
              <w:widowControl/>
              <w:adjustRightInd w:val="0"/>
              <w:snapToGrid w:val="0"/>
              <w:jc w:val="center"/>
              <w:rPr>
                <w:rFonts w:hint="eastAsia" w:ascii="黑体" w:hAnsi="黑体" w:eastAsia="黑体" w:cs="Times New Roman"/>
                <w:bCs/>
                <w:color w:val="000000"/>
                <w:kern w:val="0"/>
              </w:rPr>
            </w:pPr>
            <w:r>
              <w:rPr>
                <w:rFonts w:hint="eastAsia" w:ascii="黑体" w:hAnsi="黑体" w:eastAsia="黑体" w:cs="Times New Roman"/>
                <w:bCs/>
                <w:color w:val="000000"/>
                <w:kern w:val="0"/>
              </w:rPr>
              <w:t>序号</w:t>
            </w:r>
          </w:p>
        </w:tc>
        <w:tc>
          <w:tcPr>
            <w:tcW w:w="615" w:type="dxa"/>
            <w:vMerge w:val="restart"/>
            <w:shd w:val="clear" w:color="auto" w:fill="auto"/>
            <w:vAlign w:val="center"/>
          </w:tcPr>
          <w:p>
            <w:pPr>
              <w:widowControl/>
              <w:adjustRightInd w:val="0"/>
              <w:snapToGrid w:val="0"/>
              <w:jc w:val="center"/>
              <w:rPr>
                <w:rFonts w:hint="eastAsia" w:ascii="黑体" w:hAnsi="黑体" w:eastAsia="黑体" w:cs="Times New Roman"/>
                <w:bCs/>
                <w:color w:val="000000"/>
                <w:kern w:val="0"/>
              </w:rPr>
            </w:pPr>
            <w:r>
              <w:rPr>
                <w:rFonts w:hint="eastAsia" w:ascii="黑体" w:hAnsi="黑体" w:eastAsia="黑体" w:cs="Times New Roman"/>
                <w:bCs/>
                <w:color w:val="000000"/>
                <w:kern w:val="0"/>
              </w:rPr>
              <w:t>主管部门</w:t>
            </w:r>
          </w:p>
        </w:tc>
        <w:tc>
          <w:tcPr>
            <w:tcW w:w="1650" w:type="dxa"/>
            <w:vMerge w:val="restart"/>
            <w:shd w:val="clear" w:color="auto" w:fill="auto"/>
            <w:vAlign w:val="center"/>
          </w:tcPr>
          <w:p>
            <w:pPr>
              <w:widowControl/>
              <w:adjustRightInd w:val="0"/>
              <w:snapToGrid w:val="0"/>
              <w:jc w:val="center"/>
              <w:rPr>
                <w:rFonts w:hint="eastAsia" w:ascii="黑体" w:hAnsi="黑体" w:eastAsia="黑体" w:cs="Times New Roman"/>
                <w:bCs/>
                <w:color w:val="000000"/>
                <w:kern w:val="0"/>
              </w:rPr>
            </w:pPr>
            <w:r>
              <w:rPr>
                <w:rFonts w:hint="eastAsia" w:ascii="黑体" w:hAnsi="黑体" w:eastAsia="黑体" w:cs="Times New Roman"/>
                <w:bCs/>
                <w:color w:val="000000"/>
                <w:kern w:val="0"/>
              </w:rPr>
              <w:t>改革事项</w:t>
            </w:r>
          </w:p>
        </w:tc>
        <w:tc>
          <w:tcPr>
            <w:tcW w:w="1155" w:type="dxa"/>
            <w:vMerge w:val="restart"/>
            <w:shd w:val="clear" w:color="auto" w:fill="auto"/>
            <w:vAlign w:val="center"/>
          </w:tcPr>
          <w:p>
            <w:pPr>
              <w:widowControl/>
              <w:adjustRightInd w:val="0"/>
              <w:snapToGrid w:val="0"/>
              <w:jc w:val="center"/>
              <w:rPr>
                <w:rFonts w:hint="eastAsia" w:ascii="黑体" w:hAnsi="黑体" w:eastAsia="黑体" w:cs="Times New Roman"/>
                <w:bCs/>
                <w:color w:val="000000"/>
                <w:kern w:val="0"/>
              </w:rPr>
            </w:pPr>
            <w:r>
              <w:rPr>
                <w:rFonts w:hint="eastAsia" w:ascii="黑体" w:hAnsi="黑体" w:eastAsia="黑体" w:cs="Times New Roman"/>
                <w:bCs/>
                <w:color w:val="000000"/>
                <w:kern w:val="0"/>
              </w:rPr>
              <w:t>许可证件名称</w:t>
            </w:r>
          </w:p>
        </w:tc>
        <w:tc>
          <w:tcPr>
            <w:tcW w:w="1995" w:type="dxa"/>
            <w:vMerge w:val="restart"/>
            <w:shd w:val="clear" w:color="auto" w:fill="auto"/>
            <w:vAlign w:val="center"/>
          </w:tcPr>
          <w:p>
            <w:pPr>
              <w:widowControl/>
              <w:adjustRightInd w:val="0"/>
              <w:snapToGrid w:val="0"/>
              <w:jc w:val="center"/>
              <w:rPr>
                <w:rFonts w:hint="eastAsia" w:ascii="黑体" w:hAnsi="黑体" w:eastAsia="黑体" w:cs="Times New Roman"/>
                <w:bCs/>
                <w:color w:val="000000"/>
                <w:kern w:val="0"/>
              </w:rPr>
            </w:pPr>
            <w:r>
              <w:rPr>
                <w:rFonts w:hint="eastAsia" w:ascii="黑体" w:hAnsi="黑体" w:eastAsia="黑体" w:cs="Times New Roman"/>
                <w:bCs/>
                <w:color w:val="000000"/>
                <w:kern w:val="0"/>
              </w:rPr>
              <w:t>设定依据</w:t>
            </w:r>
          </w:p>
        </w:tc>
        <w:tc>
          <w:tcPr>
            <w:tcW w:w="1095" w:type="dxa"/>
            <w:vMerge w:val="restart"/>
            <w:shd w:val="clear" w:color="auto" w:fill="auto"/>
            <w:vAlign w:val="center"/>
          </w:tcPr>
          <w:p>
            <w:pPr>
              <w:widowControl/>
              <w:adjustRightInd w:val="0"/>
              <w:snapToGrid w:val="0"/>
              <w:jc w:val="center"/>
              <w:rPr>
                <w:rFonts w:hint="eastAsia" w:ascii="黑体" w:hAnsi="黑体" w:eastAsia="黑体" w:cs="Times New Roman"/>
                <w:bCs/>
                <w:color w:val="000000"/>
                <w:kern w:val="0"/>
              </w:rPr>
            </w:pPr>
            <w:r>
              <w:rPr>
                <w:rFonts w:hint="eastAsia" w:ascii="黑体" w:hAnsi="黑体" w:eastAsia="黑体" w:cs="Times New Roman"/>
                <w:bCs/>
                <w:color w:val="000000"/>
                <w:kern w:val="0"/>
              </w:rPr>
              <w:t>审批层级和部门</w:t>
            </w:r>
          </w:p>
        </w:tc>
        <w:tc>
          <w:tcPr>
            <w:tcW w:w="2460" w:type="dxa"/>
            <w:gridSpan w:val="4"/>
            <w:shd w:val="clear" w:color="auto" w:fill="auto"/>
            <w:vAlign w:val="center"/>
          </w:tcPr>
          <w:p>
            <w:pPr>
              <w:widowControl/>
              <w:adjustRightInd w:val="0"/>
              <w:snapToGrid w:val="0"/>
              <w:jc w:val="center"/>
              <w:rPr>
                <w:rFonts w:hint="eastAsia" w:ascii="黑体" w:hAnsi="黑体" w:eastAsia="黑体" w:cs="Times New Roman"/>
                <w:bCs/>
                <w:color w:val="000000"/>
                <w:kern w:val="0"/>
              </w:rPr>
            </w:pPr>
            <w:r>
              <w:rPr>
                <w:rFonts w:hint="eastAsia" w:ascii="黑体" w:hAnsi="黑体" w:eastAsia="黑体" w:cs="Times New Roman"/>
                <w:bCs/>
                <w:color w:val="000000"/>
                <w:kern w:val="0"/>
              </w:rPr>
              <w:t>改革方式</w:t>
            </w:r>
          </w:p>
        </w:tc>
        <w:tc>
          <w:tcPr>
            <w:tcW w:w="2850" w:type="dxa"/>
            <w:vMerge w:val="restart"/>
            <w:shd w:val="clear" w:color="auto" w:fill="auto"/>
            <w:vAlign w:val="center"/>
          </w:tcPr>
          <w:p>
            <w:pPr>
              <w:widowControl/>
              <w:adjustRightInd w:val="0"/>
              <w:snapToGrid w:val="0"/>
              <w:jc w:val="center"/>
              <w:rPr>
                <w:rFonts w:hint="eastAsia" w:ascii="黑体" w:hAnsi="黑体" w:eastAsia="黑体" w:cs="Times New Roman"/>
                <w:bCs/>
                <w:color w:val="000000"/>
                <w:kern w:val="0"/>
              </w:rPr>
            </w:pPr>
            <w:r>
              <w:rPr>
                <w:rFonts w:hint="eastAsia" w:ascii="黑体" w:hAnsi="黑体" w:eastAsia="黑体" w:cs="Times New Roman"/>
                <w:bCs/>
                <w:color w:val="000000"/>
                <w:kern w:val="0"/>
              </w:rPr>
              <w:t>具体改革举措</w:t>
            </w:r>
          </w:p>
        </w:tc>
        <w:tc>
          <w:tcPr>
            <w:tcW w:w="3030" w:type="dxa"/>
            <w:vMerge w:val="restart"/>
            <w:shd w:val="clear" w:color="auto" w:fill="auto"/>
            <w:vAlign w:val="center"/>
          </w:tcPr>
          <w:p>
            <w:pPr>
              <w:widowControl/>
              <w:adjustRightInd w:val="0"/>
              <w:snapToGrid w:val="0"/>
              <w:jc w:val="center"/>
              <w:rPr>
                <w:rFonts w:hint="eastAsia" w:ascii="黑体" w:hAnsi="黑体" w:eastAsia="黑体" w:cs="Times New Roman"/>
                <w:bCs/>
                <w:color w:val="000000"/>
                <w:kern w:val="0"/>
              </w:rPr>
            </w:pPr>
            <w:r>
              <w:rPr>
                <w:rFonts w:hint="eastAsia" w:ascii="黑体" w:hAnsi="黑体" w:eastAsia="黑体" w:cs="Times New Roman"/>
                <w:bCs/>
                <w:color w:val="000000"/>
                <w:kern w:val="0"/>
              </w:rPr>
              <w:t>加强事中事后监管措施</w:t>
            </w:r>
          </w:p>
        </w:tc>
        <w:tc>
          <w:tcPr>
            <w:tcW w:w="1365" w:type="dxa"/>
            <w:vMerge w:val="restart"/>
            <w:shd w:val="clear" w:color="auto" w:fill="auto"/>
            <w:vAlign w:val="center"/>
          </w:tcPr>
          <w:p>
            <w:pPr>
              <w:widowControl/>
              <w:adjustRightInd w:val="0"/>
              <w:snapToGrid w:val="0"/>
              <w:jc w:val="center"/>
              <w:rPr>
                <w:rFonts w:hint="eastAsia" w:ascii="黑体" w:hAnsi="黑体" w:eastAsia="黑体" w:cs="Times New Roman"/>
                <w:bCs/>
                <w:color w:val="000000"/>
                <w:kern w:val="0"/>
              </w:rPr>
            </w:pPr>
            <w:r>
              <w:rPr>
                <w:rFonts w:hint="eastAsia" w:ascii="黑体" w:hAnsi="黑体" w:eastAsia="黑体" w:cs="Times New Roman"/>
                <w:bCs/>
                <w:color w:val="000000"/>
                <w:kern w:val="0"/>
              </w:rPr>
              <w:t>责任部门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0" w:hRule="atLeast"/>
          <w:tblHeader/>
          <w:jc w:val="center"/>
        </w:trPr>
        <w:tc>
          <w:tcPr>
            <w:tcW w:w="375" w:type="dxa"/>
            <w:vMerge w:val="continue"/>
            <w:vAlign w:val="center"/>
          </w:tcPr>
          <w:p>
            <w:pPr>
              <w:widowControl/>
              <w:adjustRightInd w:val="0"/>
              <w:snapToGrid w:val="0"/>
              <w:jc w:val="center"/>
              <w:rPr>
                <w:rFonts w:hint="eastAsia" w:ascii="黑体" w:hAnsi="黑体" w:eastAsia="黑体" w:cs="Times New Roman"/>
                <w:bCs/>
                <w:color w:val="000000"/>
                <w:kern w:val="0"/>
              </w:rPr>
            </w:pPr>
          </w:p>
        </w:tc>
        <w:tc>
          <w:tcPr>
            <w:tcW w:w="615" w:type="dxa"/>
            <w:vMerge w:val="continue"/>
            <w:vAlign w:val="center"/>
          </w:tcPr>
          <w:p>
            <w:pPr>
              <w:widowControl/>
              <w:adjustRightInd w:val="0"/>
              <w:snapToGrid w:val="0"/>
              <w:jc w:val="left"/>
              <w:rPr>
                <w:rFonts w:hint="eastAsia" w:ascii="黑体" w:hAnsi="黑体" w:eastAsia="黑体" w:cs="Times New Roman"/>
                <w:bCs/>
                <w:color w:val="000000"/>
                <w:kern w:val="0"/>
              </w:rPr>
            </w:pPr>
          </w:p>
        </w:tc>
        <w:tc>
          <w:tcPr>
            <w:tcW w:w="1650" w:type="dxa"/>
            <w:vMerge w:val="continue"/>
            <w:vAlign w:val="center"/>
          </w:tcPr>
          <w:p>
            <w:pPr>
              <w:widowControl/>
              <w:adjustRightInd w:val="0"/>
              <w:snapToGrid w:val="0"/>
              <w:jc w:val="left"/>
              <w:rPr>
                <w:rFonts w:hint="eastAsia" w:ascii="黑体" w:hAnsi="黑体" w:eastAsia="黑体" w:cs="Times New Roman"/>
                <w:bCs/>
                <w:color w:val="000000"/>
                <w:kern w:val="0"/>
              </w:rPr>
            </w:pPr>
          </w:p>
        </w:tc>
        <w:tc>
          <w:tcPr>
            <w:tcW w:w="1155" w:type="dxa"/>
            <w:vMerge w:val="continue"/>
            <w:vAlign w:val="center"/>
          </w:tcPr>
          <w:p>
            <w:pPr>
              <w:widowControl/>
              <w:adjustRightInd w:val="0"/>
              <w:snapToGrid w:val="0"/>
              <w:jc w:val="left"/>
              <w:rPr>
                <w:rFonts w:hint="eastAsia" w:ascii="黑体" w:hAnsi="黑体" w:eastAsia="黑体" w:cs="Times New Roman"/>
                <w:bCs/>
                <w:color w:val="000000"/>
                <w:kern w:val="0"/>
              </w:rPr>
            </w:pPr>
          </w:p>
        </w:tc>
        <w:tc>
          <w:tcPr>
            <w:tcW w:w="1995" w:type="dxa"/>
            <w:vMerge w:val="continue"/>
            <w:vAlign w:val="center"/>
          </w:tcPr>
          <w:p>
            <w:pPr>
              <w:widowControl/>
              <w:adjustRightInd w:val="0"/>
              <w:snapToGrid w:val="0"/>
              <w:jc w:val="left"/>
              <w:rPr>
                <w:rFonts w:hint="eastAsia" w:ascii="黑体" w:hAnsi="黑体" w:eastAsia="黑体" w:cs="Times New Roman"/>
                <w:bCs/>
                <w:color w:val="000000"/>
                <w:kern w:val="0"/>
              </w:rPr>
            </w:pPr>
          </w:p>
        </w:tc>
        <w:tc>
          <w:tcPr>
            <w:tcW w:w="1095" w:type="dxa"/>
            <w:vMerge w:val="continue"/>
            <w:vAlign w:val="center"/>
          </w:tcPr>
          <w:p>
            <w:pPr>
              <w:widowControl/>
              <w:adjustRightInd w:val="0"/>
              <w:snapToGrid w:val="0"/>
              <w:jc w:val="left"/>
              <w:rPr>
                <w:rFonts w:hint="eastAsia" w:ascii="黑体" w:hAnsi="黑体" w:eastAsia="黑体" w:cs="Times New Roman"/>
                <w:bCs/>
                <w:color w:val="000000"/>
                <w:kern w:val="0"/>
              </w:rPr>
            </w:pPr>
          </w:p>
        </w:tc>
        <w:tc>
          <w:tcPr>
            <w:tcW w:w="615" w:type="dxa"/>
            <w:shd w:val="clear" w:color="auto" w:fill="auto"/>
            <w:vAlign w:val="center"/>
          </w:tcPr>
          <w:p>
            <w:pPr>
              <w:widowControl/>
              <w:adjustRightInd w:val="0"/>
              <w:snapToGrid w:val="0"/>
              <w:jc w:val="center"/>
              <w:rPr>
                <w:rFonts w:hint="eastAsia" w:ascii="黑体" w:hAnsi="黑体" w:eastAsia="黑体" w:cs="Times New Roman"/>
                <w:bCs/>
                <w:color w:val="000000"/>
                <w:kern w:val="0"/>
              </w:rPr>
            </w:pPr>
            <w:r>
              <w:rPr>
                <w:rFonts w:hint="eastAsia" w:ascii="黑体" w:hAnsi="黑体" w:eastAsia="黑体" w:cs="Times New Roman"/>
                <w:bCs/>
                <w:color w:val="000000"/>
                <w:kern w:val="0"/>
              </w:rPr>
              <w:t>直接取消审批</w:t>
            </w:r>
          </w:p>
        </w:tc>
        <w:tc>
          <w:tcPr>
            <w:tcW w:w="615" w:type="dxa"/>
            <w:shd w:val="clear" w:color="auto" w:fill="auto"/>
            <w:vAlign w:val="center"/>
          </w:tcPr>
          <w:p>
            <w:pPr>
              <w:widowControl/>
              <w:adjustRightInd w:val="0"/>
              <w:snapToGrid w:val="0"/>
              <w:jc w:val="center"/>
              <w:rPr>
                <w:rFonts w:hint="eastAsia" w:ascii="黑体" w:hAnsi="黑体" w:eastAsia="黑体" w:cs="Times New Roman"/>
                <w:bCs/>
                <w:color w:val="000000"/>
                <w:kern w:val="0"/>
              </w:rPr>
            </w:pPr>
            <w:r>
              <w:rPr>
                <w:rFonts w:hint="eastAsia" w:ascii="黑体" w:hAnsi="黑体" w:eastAsia="黑体" w:cs="Times New Roman"/>
                <w:bCs/>
                <w:color w:val="000000"/>
                <w:kern w:val="0"/>
              </w:rPr>
              <w:t>审批改为备案</w:t>
            </w:r>
          </w:p>
        </w:tc>
        <w:tc>
          <w:tcPr>
            <w:tcW w:w="615" w:type="dxa"/>
            <w:shd w:val="clear" w:color="auto" w:fill="auto"/>
            <w:vAlign w:val="center"/>
          </w:tcPr>
          <w:p>
            <w:pPr>
              <w:widowControl/>
              <w:adjustRightInd w:val="0"/>
              <w:snapToGrid w:val="0"/>
              <w:jc w:val="center"/>
              <w:rPr>
                <w:rFonts w:hint="eastAsia" w:ascii="黑体" w:hAnsi="黑体" w:eastAsia="黑体" w:cs="Times New Roman"/>
                <w:bCs/>
                <w:color w:val="000000"/>
                <w:kern w:val="0"/>
              </w:rPr>
            </w:pPr>
            <w:r>
              <w:rPr>
                <w:rFonts w:hint="eastAsia" w:ascii="黑体" w:hAnsi="黑体" w:eastAsia="黑体" w:cs="Times New Roman"/>
                <w:bCs/>
                <w:color w:val="000000"/>
                <w:kern w:val="0"/>
              </w:rPr>
              <w:t>实行告知承诺</w:t>
            </w:r>
          </w:p>
        </w:tc>
        <w:tc>
          <w:tcPr>
            <w:tcW w:w="615" w:type="dxa"/>
            <w:shd w:val="clear" w:color="auto" w:fill="auto"/>
            <w:vAlign w:val="center"/>
          </w:tcPr>
          <w:p>
            <w:pPr>
              <w:widowControl/>
              <w:adjustRightInd w:val="0"/>
              <w:snapToGrid w:val="0"/>
              <w:jc w:val="center"/>
              <w:rPr>
                <w:rFonts w:hint="eastAsia" w:ascii="黑体" w:hAnsi="黑体" w:eastAsia="黑体" w:cs="Times New Roman"/>
                <w:bCs/>
                <w:color w:val="000000"/>
                <w:kern w:val="0"/>
              </w:rPr>
            </w:pPr>
            <w:r>
              <w:rPr>
                <w:rFonts w:hint="eastAsia" w:ascii="黑体" w:hAnsi="黑体" w:eastAsia="黑体" w:cs="Times New Roman"/>
                <w:bCs/>
                <w:color w:val="000000"/>
                <w:kern w:val="0"/>
              </w:rPr>
              <w:t>优化审批服务</w:t>
            </w:r>
          </w:p>
        </w:tc>
        <w:tc>
          <w:tcPr>
            <w:tcW w:w="2850" w:type="dxa"/>
            <w:vMerge w:val="continue"/>
            <w:vAlign w:val="center"/>
          </w:tcPr>
          <w:p>
            <w:pPr>
              <w:widowControl/>
              <w:adjustRightInd w:val="0"/>
              <w:snapToGrid w:val="0"/>
              <w:jc w:val="left"/>
              <w:rPr>
                <w:rFonts w:hint="eastAsia" w:ascii="黑体" w:hAnsi="黑体" w:eastAsia="黑体" w:cs="Times New Roman"/>
                <w:bCs/>
                <w:color w:val="000000"/>
                <w:kern w:val="0"/>
              </w:rPr>
            </w:pPr>
          </w:p>
        </w:tc>
        <w:tc>
          <w:tcPr>
            <w:tcW w:w="3030" w:type="dxa"/>
            <w:vMerge w:val="continue"/>
            <w:vAlign w:val="center"/>
          </w:tcPr>
          <w:p>
            <w:pPr>
              <w:widowControl/>
              <w:adjustRightInd w:val="0"/>
              <w:snapToGrid w:val="0"/>
              <w:jc w:val="left"/>
              <w:rPr>
                <w:rFonts w:hint="eastAsia" w:ascii="黑体" w:hAnsi="黑体" w:eastAsia="黑体" w:cs="Times New Roman"/>
                <w:bCs/>
                <w:color w:val="000000"/>
                <w:kern w:val="0"/>
              </w:rPr>
            </w:pPr>
          </w:p>
        </w:tc>
        <w:tc>
          <w:tcPr>
            <w:tcW w:w="1365" w:type="dxa"/>
            <w:vMerge w:val="continue"/>
            <w:vAlign w:val="center"/>
          </w:tcPr>
          <w:p>
            <w:pPr>
              <w:widowControl/>
              <w:adjustRightInd w:val="0"/>
              <w:snapToGrid w:val="0"/>
              <w:jc w:val="left"/>
              <w:rPr>
                <w:rFonts w:hint="eastAsia" w:ascii="黑体" w:hAnsi="黑体" w:eastAsia="黑体" w:cs="Times New Roman"/>
                <w:bCs/>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70" w:hRule="atLeast"/>
          <w:jc w:val="center"/>
        </w:trPr>
        <w:tc>
          <w:tcPr>
            <w:tcW w:w="37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w:t>
            </w:r>
          </w:p>
        </w:tc>
        <w:tc>
          <w:tcPr>
            <w:tcW w:w="615" w:type="dxa"/>
            <w:shd w:val="clear" w:color="auto" w:fill="auto"/>
            <w:vAlign w:val="center"/>
          </w:tcPr>
          <w:p>
            <w:pPr>
              <w:widowControl/>
              <w:adjustRightInd w:val="0"/>
              <w:snapToGrid w:val="0"/>
              <w:jc w:val="left"/>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省口岸办</w:t>
            </w:r>
          </w:p>
        </w:tc>
        <w:tc>
          <w:tcPr>
            <w:tcW w:w="16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从事口岸仓储、熏蒸和外轮供应业务的审查批准</w:t>
            </w:r>
          </w:p>
        </w:tc>
        <w:tc>
          <w:tcPr>
            <w:tcW w:w="115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外轮供应许可证</w:t>
            </w:r>
          </w:p>
        </w:tc>
        <w:tc>
          <w:tcPr>
            <w:tcW w:w="199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《山东省口岸综合管理条例》（1996年4月通过，2002年7月修改）第二十五条</w:t>
            </w:r>
          </w:p>
        </w:tc>
        <w:tc>
          <w:tcPr>
            <w:tcW w:w="109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各市口岸管理部门</w:t>
            </w: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w:t>
            </w:r>
          </w:p>
        </w:tc>
        <w:tc>
          <w:tcPr>
            <w:tcW w:w="28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1.精简申报材料。2.提高审批效率。</w:t>
            </w:r>
          </w:p>
        </w:tc>
        <w:tc>
          <w:tcPr>
            <w:tcW w:w="303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1.对已准入的外供企业每年进行1次年审。2.市政府、海关、边检、海事之间加强信息沟通，定期、不定期通报外轮供应管理情况。</w:t>
            </w:r>
          </w:p>
        </w:tc>
        <w:tc>
          <w:tcPr>
            <w:tcW w:w="136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市口岸物流办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85" w:hRule="atLeast"/>
          <w:jc w:val="center"/>
        </w:trPr>
        <w:tc>
          <w:tcPr>
            <w:tcW w:w="37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2</w:t>
            </w:r>
          </w:p>
        </w:tc>
        <w:tc>
          <w:tcPr>
            <w:tcW w:w="615" w:type="dxa"/>
            <w:shd w:val="clear" w:color="auto" w:fill="auto"/>
            <w:vAlign w:val="center"/>
          </w:tcPr>
          <w:p>
            <w:pPr>
              <w:widowControl/>
              <w:adjustRightInd w:val="0"/>
              <w:snapToGrid w:val="0"/>
              <w:jc w:val="left"/>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省住房城乡建设厅</w:t>
            </w:r>
          </w:p>
        </w:tc>
        <w:tc>
          <w:tcPr>
            <w:tcW w:w="16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施工图审查机构认定</w:t>
            </w:r>
          </w:p>
        </w:tc>
        <w:tc>
          <w:tcPr>
            <w:tcW w:w="115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施工图审查机构资格认定证书</w:t>
            </w:r>
          </w:p>
        </w:tc>
        <w:tc>
          <w:tcPr>
            <w:tcW w:w="199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《山东省建设工程勘察设计管理条例》（1999年4月通过，2020年7月第二次修正）第十五条</w:t>
            </w:r>
          </w:p>
        </w:tc>
        <w:tc>
          <w:tcPr>
            <w:tcW w:w="109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省住房城乡建设厅</w:t>
            </w: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w:t>
            </w:r>
          </w:p>
        </w:tc>
        <w:tc>
          <w:tcPr>
            <w:tcW w:w="28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1.精简申报材料，实行电子化申报和审批。2.推进信息共享，对能够实现信息共享的材料，不再要求申请人提供。</w:t>
            </w:r>
          </w:p>
        </w:tc>
        <w:tc>
          <w:tcPr>
            <w:tcW w:w="303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1.实施“双随机、一公开”监管，依法查处违法违规行为并公开结果。2.加强信用监管，依法依规对失信主体实施失信惩戒。</w:t>
            </w:r>
          </w:p>
        </w:tc>
        <w:tc>
          <w:tcPr>
            <w:tcW w:w="136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市行政审批服务局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10" w:hRule="atLeast"/>
          <w:jc w:val="center"/>
        </w:trPr>
        <w:tc>
          <w:tcPr>
            <w:tcW w:w="37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3</w:t>
            </w:r>
          </w:p>
        </w:tc>
        <w:tc>
          <w:tcPr>
            <w:tcW w:w="615" w:type="dxa"/>
            <w:shd w:val="clear" w:color="auto" w:fill="auto"/>
            <w:vAlign w:val="center"/>
          </w:tcPr>
          <w:p>
            <w:pPr>
              <w:widowControl/>
              <w:adjustRightInd w:val="0"/>
              <w:snapToGrid w:val="0"/>
              <w:jc w:val="left"/>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省住房城乡建设厅</w:t>
            </w:r>
          </w:p>
        </w:tc>
        <w:tc>
          <w:tcPr>
            <w:tcW w:w="16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供热经营许可证核发</w:t>
            </w:r>
          </w:p>
        </w:tc>
        <w:tc>
          <w:tcPr>
            <w:tcW w:w="115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供热经营许可证</w:t>
            </w:r>
          </w:p>
        </w:tc>
        <w:tc>
          <w:tcPr>
            <w:tcW w:w="199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1.《山东省供热条例》（2014年3月通过，2018年9月修正）第十七条</w:t>
            </w:r>
            <w:r>
              <w:rPr>
                <w:rFonts w:hint="eastAsia" w:ascii="方正书宋_GBK" w:hAnsi="Times New Roman" w:eastAsia="方正书宋_GBK" w:cs="Times New Roman"/>
                <w:color w:val="000000"/>
                <w:kern w:val="0"/>
              </w:rPr>
              <w:br w:type="textWrapping"/>
            </w:r>
            <w:r>
              <w:rPr>
                <w:rFonts w:hint="eastAsia" w:ascii="方正书宋_GBK" w:hAnsi="Times New Roman" w:eastAsia="方正书宋_GBK" w:cs="Times New Roman"/>
                <w:color w:val="000000"/>
                <w:kern w:val="0"/>
              </w:rPr>
              <w:t>2.《山东省供热经营许可管理办法》第四条</w:t>
            </w:r>
          </w:p>
        </w:tc>
        <w:tc>
          <w:tcPr>
            <w:tcW w:w="109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市、县级行政审批服务局</w:t>
            </w: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w:t>
            </w:r>
          </w:p>
        </w:tc>
        <w:tc>
          <w:tcPr>
            <w:tcW w:w="28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1.精简申报材料，实行电子化申报和审批。2.推进信息共享，对能够实现信息共享的企业信息、公民信息、专业技术职称、社保缴纳等不再要求申请人提供。</w:t>
            </w:r>
          </w:p>
        </w:tc>
        <w:tc>
          <w:tcPr>
            <w:tcW w:w="303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实施“双随机、一公开”监管，通过信息公示、抽查、抽验等方式，综合运用提醒、约谈、告诫等手段，依法查处违法违规行为并公开结果。2.加强信用监管，鼓励社会监督，依法依规对失信主体实施失信惩戒。</w:t>
            </w:r>
          </w:p>
        </w:tc>
        <w:tc>
          <w:tcPr>
            <w:tcW w:w="136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市行政审批服务局、各区县政府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03" w:hRule="atLeast"/>
          <w:jc w:val="center"/>
        </w:trPr>
        <w:tc>
          <w:tcPr>
            <w:tcW w:w="37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4</w:t>
            </w:r>
          </w:p>
        </w:tc>
        <w:tc>
          <w:tcPr>
            <w:tcW w:w="615" w:type="dxa"/>
            <w:shd w:val="clear" w:color="auto" w:fill="auto"/>
            <w:vAlign w:val="center"/>
          </w:tcPr>
          <w:p>
            <w:pPr>
              <w:widowControl/>
              <w:adjustRightInd w:val="0"/>
              <w:snapToGrid w:val="0"/>
              <w:jc w:val="left"/>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省住房城乡建设厅</w:t>
            </w:r>
          </w:p>
        </w:tc>
        <w:tc>
          <w:tcPr>
            <w:tcW w:w="16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燃气供应许可证核发</w:t>
            </w:r>
          </w:p>
        </w:tc>
        <w:tc>
          <w:tcPr>
            <w:tcW w:w="115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燃气供应许可证</w:t>
            </w:r>
          </w:p>
        </w:tc>
        <w:tc>
          <w:tcPr>
            <w:tcW w:w="199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《山东省燃气管理条例》（2003年9月通过，2016年3月修正）第十七条</w:t>
            </w:r>
          </w:p>
        </w:tc>
        <w:tc>
          <w:tcPr>
            <w:tcW w:w="109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市、县级行政审批服务局</w:t>
            </w: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w:t>
            </w:r>
          </w:p>
        </w:tc>
        <w:tc>
          <w:tcPr>
            <w:tcW w:w="28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精简申报材料，实行电子化申报和审批，对达到气源、人员、资金等条件的，可先予容缺受理。2.将审批时限由20个工作日压减至10个工作日。3.推进信息共享，对能够实现信息共享的企业信息、公民信息、专业技术职称、社保缴纳等不再要求申请人提供。</w:t>
            </w:r>
          </w:p>
        </w:tc>
        <w:tc>
          <w:tcPr>
            <w:tcW w:w="303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实施“双随机、一公开”监管，依法查处违法违规行为并公开结果。2.通过审批后定期核查、指导行业协会自查、信用评级、建立违规企业名录和违法经营者黑名单等事中事后监管方式，完善常态化监管机制，提高监管水平。</w:t>
            </w:r>
          </w:p>
        </w:tc>
        <w:tc>
          <w:tcPr>
            <w:tcW w:w="136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市行政审批服务局、各区县政府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365" w:hRule="atLeast"/>
          <w:jc w:val="center"/>
        </w:trPr>
        <w:tc>
          <w:tcPr>
            <w:tcW w:w="37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5</w:t>
            </w:r>
          </w:p>
        </w:tc>
        <w:tc>
          <w:tcPr>
            <w:tcW w:w="615" w:type="dxa"/>
            <w:shd w:val="clear" w:color="auto" w:fill="auto"/>
            <w:vAlign w:val="center"/>
          </w:tcPr>
          <w:p>
            <w:pPr>
              <w:widowControl/>
              <w:adjustRightInd w:val="0"/>
              <w:snapToGrid w:val="0"/>
              <w:jc w:val="left"/>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省交通运输厅</w:t>
            </w:r>
          </w:p>
        </w:tc>
        <w:tc>
          <w:tcPr>
            <w:tcW w:w="16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城市公共汽（电）车客运经营（含线路经营）许可</w:t>
            </w:r>
          </w:p>
        </w:tc>
        <w:tc>
          <w:tcPr>
            <w:tcW w:w="115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道路运输经营许可证</w:t>
            </w:r>
          </w:p>
        </w:tc>
        <w:tc>
          <w:tcPr>
            <w:tcW w:w="199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《山东省道路运输条例》（2010年11月通过，2020年11月第四次修正）第二十一条</w:t>
            </w:r>
          </w:p>
        </w:tc>
        <w:tc>
          <w:tcPr>
            <w:tcW w:w="109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市、县级行政审批服务局</w:t>
            </w: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w:t>
            </w:r>
          </w:p>
        </w:tc>
        <w:tc>
          <w:tcPr>
            <w:tcW w:w="28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1.将审批时限由20个工作日压减至15个工作日。2.指导市、县积极推进特许经营机制改革，简化、完善行政审批程序。</w:t>
            </w:r>
          </w:p>
        </w:tc>
        <w:tc>
          <w:tcPr>
            <w:tcW w:w="303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建立“双随机、一公开”抽查制度，并定期对城市公共汽电车客运进行监督检查。2.建立运营企业服务质量评价制度，定期对运营企业的服务质量进行评价并向社会公布。3.建立城市公共交通服务投诉受理制度并向社会公布。</w:t>
            </w:r>
          </w:p>
        </w:tc>
        <w:tc>
          <w:tcPr>
            <w:tcW w:w="136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市行政审批服务局、各区县政府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10" w:hRule="atLeast"/>
          <w:jc w:val="center"/>
        </w:trPr>
        <w:tc>
          <w:tcPr>
            <w:tcW w:w="37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6</w:t>
            </w:r>
          </w:p>
        </w:tc>
        <w:tc>
          <w:tcPr>
            <w:tcW w:w="615" w:type="dxa"/>
            <w:shd w:val="clear" w:color="auto" w:fill="auto"/>
            <w:vAlign w:val="center"/>
          </w:tcPr>
          <w:p>
            <w:pPr>
              <w:widowControl/>
              <w:adjustRightInd w:val="0"/>
              <w:snapToGrid w:val="0"/>
              <w:jc w:val="left"/>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省交通运输厅</w:t>
            </w:r>
          </w:p>
        </w:tc>
        <w:tc>
          <w:tcPr>
            <w:tcW w:w="16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使用浮桥或载客十二人以下船舶从事水路运输经营许可</w:t>
            </w:r>
          </w:p>
        </w:tc>
        <w:tc>
          <w:tcPr>
            <w:tcW w:w="115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国内水路运输经营许可证</w:t>
            </w:r>
          </w:p>
        </w:tc>
        <w:tc>
          <w:tcPr>
            <w:tcW w:w="199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《山东省水路交通条例》（2016年9月通过，2020年7月修正）第二十七条、第二十八条、第二十九条</w:t>
            </w:r>
          </w:p>
        </w:tc>
        <w:tc>
          <w:tcPr>
            <w:tcW w:w="109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省、市、县级交通运输主管部门或市、县级行政审批服务局</w:t>
            </w: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w:t>
            </w:r>
          </w:p>
        </w:tc>
        <w:tc>
          <w:tcPr>
            <w:tcW w:w="28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1.将审批时限由20个工作日压减至15个工作日。</w:t>
            </w:r>
            <w:r>
              <w:rPr>
                <w:rFonts w:hint="eastAsia" w:ascii="方正书宋_GBK" w:hAnsi="Times New Roman" w:eastAsia="方正书宋_GBK" w:cs="Times New Roman"/>
                <w:color w:val="000000"/>
                <w:kern w:val="0"/>
              </w:rPr>
              <w:br w:type="textWrapping"/>
            </w:r>
            <w:r>
              <w:rPr>
                <w:rFonts w:hint="eastAsia" w:ascii="方正书宋_GBK" w:hAnsi="Times New Roman" w:eastAsia="方正书宋_GBK" w:cs="Times New Roman"/>
                <w:color w:val="000000"/>
                <w:kern w:val="0"/>
              </w:rPr>
              <w:t>2.实现办理审批“最多跑一次”。</w:t>
            </w:r>
          </w:p>
        </w:tc>
        <w:tc>
          <w:tcPr>
            <w:tcW w:w="303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分级开展“双随机、一公开”监管，对诚信状况差、投诉举报多、受处罚警告多的经营主体提高抽查比例。2.每年开展国内水路运输年度核查，将其纳入全覆盖范围，检查发现不具备经营许可条件的，依法及时予以处理。</w:t>
            </w:r>
          </w:p>
        </w:tc>
        <w:tc>
          <w:tcPr>
            <w:tcW w:w="136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市行政审批服务局、各区县政府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572" w:hRule="atLeast"/>
          <w:jc w:val="center"/>
        </w:trPr>
        <w:tc>
          <w:tcPr>
            <w:tcW w:w="37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7</w:t>
            </w:r>
          </w:p>
        </w:tc>
        <w:tc>
          <w:tcPr>
            <w:tcW w:w="615" w:type="dxa"/>
            <w:shd w:val="clear" w:color="auto" w:fill="auto"/>
            <w:vAlign w:val="center"/>
          </w:tcPr>
          <w:p>
            <w:pPr>
              <w:widowControl/>
              <w:adjustRightInd w:val="0"/>
              <w:snapToGrid w:val="0"/>
              <w:jc w:val="left"/>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省文化和旅游厅</w:t>
            </w:r>
          </w:p>
        </w:tc>
        <w:tc>
          <w:tcPr>
            <w:tcW w:w="16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典当行、拍卖公司、文化市场、旧货市场、艺术品市场等单位或者场所经营尚未被认定为文物的监管物品的许可</w:t>
            </w:r>
          </w:p>
        </w:tc>
        <w:tc>
          <w:tcPr>
            <w:tcW w:w="115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批准文件</w:t>
            </w:r>
          </w:p>
        </w:tc>
        <w:tc>
          <w:tcPr>
            <w:tcW w:w="199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《山东省文物保护条例》（2010年9月通过，2017年9月第二次修正）第四十八条</w:t>
            </w:r>
          </w:p>
        </w:tc>
        <w:tc>
          <w:tcPr>
            <w:tcW w:w="109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省文化和旅游厅</w:t>
            </w: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w:t>
            </w: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28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取消“典当行、拍卖公司、文化市场、旧货市场、艺术品市场等单位或者场所经营尚未被认定为文物的监管物品的许可”。</w:t>
            </w:r>
          </w:p>
        </w:tc>
        <w:tc>
          <w:tcPr>
            <w:tcW w:w="303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1.实施“双随机、一公开”监管，发现违法违规行为依法查处。2.根据投诉举报实施重点监管。3.加强信用监管，建立经营主体信用记录，依法依规实施失信惩戒。</w:t>
            </w:r>
          </w:p>
        </w:tc>
        <w:tc>
          <w:tcPr>
            <w:tcW w:w="136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市行政审批服务局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53" w:hRule="atLeast"/>
          <w:jc w:val="center"/>
        </w:trPr>
        <w:tc>
          <w:tcPr>
            <w:tcW w:w="37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8</w:t>
            </w:r>
          </w:p>
        </w:tc>
        <w:tc>
          <w:tcPr>
            <w:tcW w:w="615" w:type="dxa"/>
            <w:shd w:val="clear" w:color="auto" w:fill="auto"/>
            <w:vAlign w:val="center"/>
          </w:tcPr>
          <w:p>
            <w:pPr>
              <w:widowControl/>
              <w:adjustRightInd w:val="0"/>
              <w:snapToGrid w:val="0"/>
              <w:jc w:val="left"/>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省市场监管局</w:t>
            </w:r>
          </w:p>
        </w:tc>
        <w:tc>
          <w:tcPr>
            <w:tcW w:w="16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食品小作坊、小餐饮登记</w:t>
            </w:r>
          </w:p>
        </w:tc>
        <w:tc>
          <w:tcPr>
            <w:tcW w:w="115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山东省食品小作坊小餐饮登记证</w:t>
            </w:r>
          </w:p>
        </w:tc>
        <w:tc>
          <w:tcPr>
            <w:tcW w:w="199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《山东省食品小作坊小餐饮和食品摊点管理条例》（2017年1月通过）第十条</w:t>
            </w:r>
          </w:p>
        </w:tc>
        <w:tc>
          <w:tcPr>
            <w:tcW w:w="109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县级行政审批服务局</w:t>
            </w: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w:t>
            </w:r>
          </w:p>
        </w:tc>
        <w:tc>
          <w:tcPr>
            <w:tcW w:w="28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1.精简申报材料，营业执照、申请人身份证明等能够内部共享、在线核验的可提供电子证照，申请人无需提供纸质复印件。2.将审批时限由15日压减至10日。</w:t>
            </w:r>
          </w:p>
        </w:tc>
        <w:tc>
          <w:tcPr>
            <w:tcW w:w="303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小作坊：1.落实安全主体责任，实现日常监督检查全覆盖。2.推动实施地方标准《食品小作坊生产加工规范》，规范小作坊生产过程和食品标签标示。3.严厉打击各类违法生产加工行为。</w:t>
            </w:r>
            <w:r>
              <w:rPr>
                <w:rFonts w:hint="eastAsia" w:ascii="方正书宋_GBK" w:hAnsi="Times New Roman" w:eastAsia="方正书宋_GBK" w:cs="Times New Roman"/>
                <w:color w:val="000000"/>
                <w:kern w:val="0"/>
              </w:rPr>
              <w:br w:type="textWrapping"/>
            </w:r>
            <w:r>
              <w:rPr>
                <w:rFonts w:hint="eastAsia" w:ascii="方正书宋_GBK" w:hAnsi="Times New Roman" w:eastAsia="方正书宋_GBK" w:cs="Times New Roman"/>
                <w:color w:val="000000"/>
                <w:spacing w:val="-6"/>
                <w:kern w:val="0"/>
              </w:rPr>
              <w:t>小餐饮：1.严格执行有关法律法规和标准，开展日常监督检查，依法查处违法行为。2.全面落实“亮证经营、安全承诺、场所清洁、原料查验、单据留存、操作规范”六项要求，推进小餐饮规范提升。</w:t>
            </w:r>
          </w:p>
        </w:tc>
        <w:tc>
          <w:tcPr>
            <w:tcW w:w="136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各区县政府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70" w:hRule="atLeast"/>
          <w:jc w:val="center"/>
        </w:trPr>
        <w:tc>
          <w:tcPr>
            <w:tcW w:w="37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9</w:t>
            </w:r>
          </w:p>
        </w:tc>
        <w:tc>
          <w:tcPr>
            <w:tcW w:w="615" w:type="dxa"/>
            <w:shd w:val="clear" w:color="auto" w:fill="auto"/>
            <w:vAlign w:val="center"/>
          </w:tcPr>
          <w:p>
            <w:pPr>
              <w:widowControl/>
              <w:adjustRightInd w:val="0"/>
              <w:snapToGrid w:val="0"/>
              <w:jc w:val="left"/>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省地方金融监管局</w:t>
            </w:r>
          </w:p>
        </w:tc>
        <w:tc>
          <w:tcPr>
            <w:tcW w:w="16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小额贷款公司的设立审批</w:t>
            </w:r>
          </w:p>
        </w:tc>
        <w:tc>
          <w:tcPr>
            <w:tcW w:w="115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批准文件、山东省小额贷款公司经营许可证</w:t>
            </w:r>
          </w:p>
        </w:tc>
        <w:tc>
          <w:tcPr>
            <w:tcW w:w="1995" w:type="dxa"/>
            <w:shd w:val="clear" w:color="auto" w:fill="auto"/>
            <w:vAlign w:val="center"/>
          </w:tcPr>
          <w:p>
            <w:pPr>
              <w:widowControl/>
              <w:adjustRightInd w:val="0"/>
              <w:snapToGrid w:val="0"/>
              <w:spacing w:line="240" w:lineRule="exact"/>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1.《山东省地方金融条例》（2016年3月通过）第三十二条</w:t>
            </w:r>
            <w:r>
              <w:rPr>
                <w:rFonts w:hint="eastAsia" w:ascii="方正书宋_GBK" w:hAnsi="Times New Roman" w:eastAsia="方正书宋_GBK" w:cs="Times New Roman"/>
                <w:color w:val="000000"/>
                <w:kern w:val="0"/>
              </w:rPr>
              <w:br w:type="textWrapping"/>
            </w:r>
            <w:r>
              <w:rPr>
                <w:rFonts w:hint="eastAsia" w:ascii="方正书宋_GBK" w:hAnsi="Times New Roman" w:eastAsia="方正书宋_GBK" w:cs="Times New Roman"/>
                <w:color w:val="000000"/>
                <w:kern w:val="0"/>
              </w:rPr>
              <w:t>2.《中国银行业监督管理委员会中国人民银行关于小额贷款公司试点的指导意见》（银监发〔2018〕23号）第二条</w:t>
            </w:r>
          </w:p>
        </w:tc>
        <w:tc>
          <w:tcPr>
            <w:tcW w:w="109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省地方金融监管局</w:t>
            </w: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w:t>
            </w:r>
          </w:p>
        </w:tc>
        <w:tc>
          <w:tcPr>
            <w:tcW w:w="28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取消小额贷款公司经营许可证年审。</w:t>
            </w:r>
          </w:p>
        </w:tc>
        <w:tc>
          <w:tcPr>
            <w:tcW w:w="303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1.委托第三方中介机构开展小额贷款公司分类评级现场检查，并根据检查结果采取分类监管措施。2.实施“双随机、一公开”监管，根据风险状况，合理确定抽查比例。</w:t>
            </w:r>
          </w:p>
        </w:tc>
        <w:tc>
          <w:tcPr>
            <w:tcW w:w="136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市地方金融监管局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70" w:hRule="atLeast"/>
          <w:jc w:val="center"/>
        </w:trPr>
        <w:tc>
          <w:tcPr>
            <w:tcW w:w="37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10</w:t>
            </w:r>
          </w:p>
        </w:tc>
        <w:tc>
          <w:tcPr>
            <w:tcW w:w="615" w:type="dxa"/>
            <w:shd w:val="clear" w:color="auto" w:fill="auto"/>
            <w:vAlign w:val="center"/>
          </w:tcPr>
          <w:p>
            <w:pPr>
              <w:widowControl/>
              <w:adjustRightInd w:val="0"/>
              <w:snapToGrid w:val="0"/>
              <w:jc w:val="left"/>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省地方金融监管局</w:t>
            </w:r>
          </w:p>
        </w:tc>
        <w:tc>
          <w:tcPr>
            <w:tcW w:w="16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民间融资机构开展民间资本管理业务或者民间融资登记服务业务审批</w:t>
            </w:r>
          </w:p>
        </w:tc>
        <w:tc>
          <w:tcPr>
            <w:tcW w:w="115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批准文件、民间融资机构业务许可证</w:t>
            </w:r>
          </w:p>
        </w:tc>
        <w:tc>
          <w:tcPr>
            <w:tcW w:w="199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《山东省地方金融条例》（2016年3月通过）第三十三条</w:t>
            </w:r>
          </w:p>
        </w:tc>
        <w:tc>
          <w:tcPr>
            <w:tcW w:w="109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省地方金融监管局</w:t>
            </w: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w:t>
            </w:r>
          </w:p>
        </w:tc>
        <w:tc>
          <w:tcPr>
            <w:tcW w:w="28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取消民间融资机构业务许可证年审。</w:t>
            </w:r>
          </w:p>
        </w:tc>
        <w:tc>
          <w:tcPr>
            <w:tcW w:w="303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1.委托第三方中介机构开展分类评级和现场检查，并根据检查结果采取分类监管措施。2.实施“双随机、一公开”监管，根据风险状况，合理确定抽查比例。</w:t>
            </w:r>
          </w:p>
        </w:tc>
        <w:tc>
          <w:tcPr>
            <w:tcW w:w="136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市地方金融监管局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22" w:hRule="atLeast"/>
          <w:jc w:val="center"/>
        </w:trPr>
        <w:tc>
          <w:tcPr>
            <w:tcW w:w="37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11</w:t>
            </w:r>
          </w:p>
        </w:tc>
        <w:tc>
          <w:tcPr>
            <w:tcW w:w="615" w:type="dxa"/>
            <w:shd w:val="clear" w:color="auto" w:fill="auto"/>
            <w:vAlign w:val="center"/>
          </w:tcPr>
          <w:p>
            <w:pPr>
              <w:widowControl/>
              <w:adjustRightInd w:val="0"/>
              <w:snapToGrid w:val="0"/>
              <w:jc w:val="left"/>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省地方金融监管局</w:t>
            </w:r>
          </w:p>
        </w:tc>
        <w:tc>
          <w:tcPr>
            <w:tcW w:w="16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农民专业合作社开展信用互助业务审批</w:t>
            </w:r>
          </w:p>
        </w:tc>
        <w:tc>
          <w:tcPr>
            <w:tcW w:w="115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农民专业合作社信用互助业务资格认定书</w:t>
            </w:r>
          </w:p>
        </w:tc>
        <w:tc>
          <w:tcPr>
            <w:tcW w:w="199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《山东省地方金融条例》（2016年3月通过）第三十五条</w:t>
            </w:r>
          </w:p>
        </w:tc>
        <w:tc>
          <w:tcPr>
            <w:tcW w:w="109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县级地方金融监管部门</w:t>
            </w: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p>
        </w:tc>
        <w:tc>
          <w:tcPr>
            <w:tcW w:w="615"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w:t>
            </w:r>
          </w:p>
        </w:tc>
        <w:tc>
          <w:tcPr>
            <w:tcW w:w="285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不再要求申请人提供营业执照复印件。</w:t>
            </w:r>
          </w:p>
        </w:tc>
        <w:tc>
          <w:tcPr>
            <w:tcW w:w="3030" w:type="dxa"/>
            <w:shd w:val="clear" w:color="auto" w:fill="auto"/>
            <w:vAlign w:val="center"/>
          </w:tcPr>
          <w:p>
            <w:pPr>
              <w:widowControl/>
              <w:adjustRightInd w:val="0"/>
              <w:snapToGrid w:val="0"/>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通过现场检查、非现场监测、辅助监管等多种方式，加强事中事后监管，依法查处违法违规行为。</w:t>
            </w:r>
          </w:p>
        </w:tc>
        <w:tc>
          <w:tcPr>
            <w:tcW w:w="1365" w:type="dxa"/>
            <w:shd w:val="clear" w:color="auto" w:fill="auto"/>
            <w:vAlign w:val="center"/>
          </w:tcPr>
          <w:p>
            <w:pPr>
              <w:widowControl/>
              <w:adjustRightInd w:val="0"/>
              <w:snapToGrid w:val="0"/>
              <w:jc w:val="center"/>
              <w:rPr>
                <w:rFonts w:hint="eastAsia" w:ascii="方正书宋_GBK" w:hAnsi="Times New Roman" w:eastAsia="方正书宋_GBK" w:cs="Times New Roman"/>
                <w:color w:val="000000"/>
                <w:kern w:val="0"/>
              </w:rPr>
            </w:pPr>
            <w:r>
              <w:rPr>
                <w:rFonts w:hint="eastAsia" w:ascii="方正书宋_GBK" w:hAnsi="Times New Roman" w:eastAsia="方正书宋_GBK" w:cs="Times New Roman"/>
                <w:color w:val="000000"/>
                <w:kern w:val="0"/>
              </w:rPr>
              <w:t>各区县政府</w:t>
            </w:r>
          </w:p>
        </w:tc>
      </w:tr>
    </w:tbl>
    <w:p>
      <w:pPr>
        <w:jc w:val="center"/>
        <w:rPr>
          <w:rFonts w:hint="eastAsia" w:ascii="方正小标宋简体" w:hAnsi="文星标宋" w:eastAsia="方正小标宋简体" w:cs="方正小标宋简体"/>
          <w:sz w:val="40"/>
          <w:szCs w:val="40"/>
        </w:rPr>
      </w:pPr>
    </w:p>
    <w:sectPr>
      <w:footerReference r:id="rId4" w:type="default"/>
      <w:headerReference r:id="rId3" w:type="even"/>
      <w:footerReference r:id="rId5" w:type="even"/>
      <w:pgSz w:w="16838" w:h="11906" w:orient="landscape"/>
      <w:pgMar w:top="1644" w:right="1418" w:bottom="1474" w:left="1701" w:header="851" w:footer="992" w:gutter="0"/>
      <w:pgNumType w:start="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文星标宋">
    <w:altName w:val="微软雅黑"/>
    <w:panose1 w:val="00000000000000000000"/>
    <w:charset w:val="86"/>
    <w:family w:val="auto"/>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h="1445" w:hRule="exact" w:wrap="around" w:vAnchor="text" w:hAnchor="page" w:x="1124" w:y="-1735"/>
      <w:jc w:val="center"/>
      <w:rPr>
        <w:rStyle w:val="6"/>
        <w:rFonts w:hint="eastAsia" w:ascii="方正书宋_GBK" w:eastAsia="方正书宋_GBK"/>
        <w:sz w:val="28"/>
        <w:szCs w:val="28"/>
      </w:rPr>
    </w:pPr>
    <w:r>
      <w:rPr>
        <w:rStyle w:val="6"/>
        <w:rFonts w:hint="eastAsia" w:ascii="方正书宋_GBK" w:eastAsia="方正书宋_GBK"/>
        <w:sz w:val="28"/>
        <w:szCs w:val="28"/>
      </w:rPr>
      <w:t xml:space="preserve"> — </w:t>
    </w:r>
    <w:r>
      <w:rPr>
        <w:rStyle w:val="6"/>
        <w:rFonts w:hint="eastAsia" w:ascii="方正书宋_GBK" w:eastAsia="方正书宋_GBK"/>
        <w:sz w:val="28"/>
        <w:szCs w:val="28"/>
      </w:rPr>
      <w:fldChar w:fldCharType="begin"/>
    </w:r>
    <w:r>
      <w:rPr>
        <w:rStyle w:val="6"/>
        <w:rFonts w:hint="eastAsia" w:ascii="方正书宋_GBK" w:eastAsia="方正书宋_GBK"/>
        <w:sz w:val="28"/>
        <w:szCs w:val="28"/>
      </w:rPr>
      <w:instrText xml:space="preserve">PAGE  </w:instrText>
    </w:r>
    <w:r>
      <w:rPr>
        <w:rStyle w:val="6"/>
        <w:rFonts w:hint="eastAsia" w:ascii="方正书宋_GBK" w:eastAsia="方正书宋_GBK"/>
        <w:sz w:val="28"/>
        <w:szCs w:val="28"/>
      </w:rPr>
      <w:fldChar w:fldCharType="separate"/>
    </w:r>
    <w:r>
      <w:rPr>
        <w:rStyle w:val="6"/>
        <w:rFonts w:ascii="方正书宋_GBK" w:eastAsia="方正书宋_GBK"/>
        <w:sz w:val="28"/>
        <w:szCs w:val="28"/>
      </w:rPr>
      <w:t>8</w:t>
    </w:r>
    <w:r>
      <w:rPr>
        <w:rStyle w:val="6"/>
        <w:rFonts w:hint="eastAsia" w:ascii="方正书宋_GBK" w:eastAsia="方正书宋_GBK"/>
        <w:sz w:val="28"/>
        <w:szCs w:val="28"/>
      </w:rPr>
      <w:fldChar w:fldCharType="end"/>
    </w:r>
    <w:r>
      <w:rPr>
        <w:rStyle w:val="6"/>
        <w:rFonts w:hint="eastAsia" w:ascii="方正书宋_GBK" w:eastAsia="方正书宋_GBK"/>
        <w:sz w:val="28"/>
        <w:szCs w:val="28"/>
      </w:rPr>
      <w:t xml:space="preserve"> —  </w:t>
    </w:r>
  </w:p>
  <w:p>
    <w:pPr>
      <w:pStyle w:val="2"/>
      <w:framePr w:wrap="around" w:vAnchor="margin" w:hAnchor="text" w:y="-173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465" w:h="1588" w:hRule="exact" w:wrap="around" w:vAnchor="text" w:hAnchor="page" w:x="1100" w:y="786"/>
      <w:jc w:val="center"/>
      <w:rPr>
        <w:rStyle w:val="6"/>
        <w:rFonts w:hint="eastAsia" w:ascii="方正书宋_GBK" w:eastAsia="方正书宋_GBK"/>
        <w:sz w:val="28"/>
        <w:szCs w:val="28"/>
      </w:rPr>
    </w:pPr>
    <w:r>
      <w:rPr>
        <w:rStyle w:val="6"/>
        <w:rFonts w:hint="eastAsia" w:ascii="方正书宋_GBK" w:eastAsia="方正书宋_GBK"/>
        <w:sz w:val="28"/>
        <w:szCs w:val="28"/>
      </w:rPr>
      <w:t xml:space="preserve">— </w:t>
    </w:r>
    <w:r>
      <w:rPr>
        <w:rStyle w:val="6"/>
        <w:rFonts w:hint="eastAsia" w:ascii="方正书宋_GBK" w:eastAsia="方正书宋_GBK"/>
        <w:sz w:val="28"/>
        <w:szCs w:val="28"/>
      </w:rPr>
      <w:fldChar w:fldCharType="begin"/>
    </w:r>
    <w:r>
      <w:rPr>
        <w:rStyle w:val="6"/>
        <w:rFonts w:hint="eastAsia" w:ascii="方正书宋_GBK" w:eastAsia="方正书宋_GBK"/>
        <w:sz w:val="28"/>
        <w:szCs w:val="28"/>
      </w:rPr>
      <w:instrText xml:space="preserve">PAGE  </w:instrText>
    </w:r>
    <w:r>
      <w:rPr>
        <w:rStyle w:val="6"/>
        <w:rFonts w:hint="eastAsia" w:ascii="方正书宋_GBK" w:eastAsia="方正书宋_GBK"/>
        <w:sz w:val="28"/>
        <w:szCs w:val="28"/>
      </w:rPr>
      <w:fldChar w:fldCharType="separate"/>
    </w:r>
    <w:r>
      <w:rPr>
        <w:rStyle w:val="6"/>
        <w:rFonts w:ascii="方正书宋_GBK" w:eastAsia="方正书宋_GBK"/>
        <w:sz w:val="28"/>
        <w:szCs w:val="28"/>
      </w:rPr>
      <w:t>108</w:t>
    </w:r>
    <w:r>
      <w:rPr>
        <w:rStyle w:val="6"/>
        <w:rFonts w:hint="eastAsia" w:ascii="方正书宋_GBK" w:eastAsia="方正书宋_GBK"/>
        <w:sz w:val="28"/>
        <w:szCs w:val="28"/>
      </w:rPr>
      <w:fldChar w:fldCharType="end"/>
    </w:r>
    <w:r>
      <w:rPr>
        <w:rStyle w:val="6"/>
        <w:rFonts w:hint="eastAsia" w:ascii="方正书宋_GBK" w:eastAsia="方正书宋_GBK"/>
        <w:sz w:val="28"/>
        <w:szCs w:val="28"/>
      </w:rPr>
      <w:t xml:space="preserve"> —</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80"/>
    <w:rsid w:val="003D1756"/>
    <w:rsid w:val="004853F9"/>
    <w:rsid w:val="00543B80"/>
    <w:rsid w:val="009E063C"/>
    <w:rsid w:val="00DC50E0"/>
    <w:rsid w:val="00E81379"/>
    <w:rsid w:val="2B6A2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仿宋" w:hAnsi="仿宋" w:eastAsia="仿宋"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仿宋" w:hAnsi="仿宋" w:eastAsia="仿宋" w:cstheme="minorBidi"/>
      <w:sz w:val="18"/>
      <w:szCs w:val="18"/>
    </w:rPr>
  </w:style>
  <w:style w:type="character" w:styleId="6">
    <w:name w:val="page number"/>
    <w:basedOn w:val="5"/>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437</Words>
  <Characters>2491</Characters>
  <Lines>20</Lines>
  <Paragraphs>5</Paragraphs>
  <TotalTime>1</TotalTime>
  <ScaleCrop>false</ScaleCrop>
  <LinksUpToDate>false</LinksUpToDate>
  <CharactersWithSpaces>2923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2021-08-25T02:16:00Z</dcterms:created>
  <dc:creator>hp-2</dc:creator>
  <cp:lastModifiedBy>blank</cp:lastModifiedBy>
  <dcterms:modified xsi:type="dcterms:W3CDTF">2021-09-13T06:13:37Z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