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Times New Roman"/>
          <w:sz w:val="32"/>
          <w:szCs w:val="32"/>
        </w:rPr>
      </w:pPr>
      <w:bookmarkStart w:id="0" w:name="_GoBack"/>
      <w:bookmarkEnd w:id="0"/>
      <w:r>
        <w:rPr>
          <w:rFonts w:hint="eastAsia" w:ascii="黑体" w:hAnsi="黑体" w:eastAsia="黑体" w:cs="黑体"/>
          <w:sz w:val="32"/>
          <w:szCs w:val="32"/>
        </w:rPr>
        <w:t>附件2</w:t>
      </w:r>
    </w:p>
    <w:p>
      <w:pPr>
        <w:jc w:val="center"/>
        <w:rPr>
          <w:rFonts w:hint="eastAsia" w:ascii="方正小标宋简体" w:hAnsi="文星标宋" w:eastAsia="方正小标宋简体" w:cs="方正小标宋简体"/>
          <w:w w:val="90"/>
          <w:sz w:val="40"/>
          <w:szCs w:val="40"/>
        </w:rPr>
      </w:pPr>
      <w:r>
        <w:rPr>
          <w:rFonts w:hint="eastAsia" w:ascii="方正小标宋简体" w:hAnsi="文星标宋" w:eastAsia="方正小标宋简体" w:cs="方正小标宋简体"/>
          <w:w w:val="90"/>
          <w:sz w:val="40"/>
          <w:szCs w:val="40"/>
        </w:rPr>
        <w:t>落实中央层面设定的涉企经营许可事项改革清单（</w:t>
      </w:r>
      <w:r>
        <w:rPr>
          <w:rFonts w:ascii="方正小标宋简体" w:hAnsi="文星标宋" w:eastAsia="方正小标宋简体" w:cs="方正小标宋简体"/>
          <w:w w:val="90"/>
          <w:sz w:val="40"/>
          <w:szCs w:val="40"/>
        </w:rPr>
        <w:t>2021年自由贸易试验区版）责任分工</w:t>
      </w:r>
    </w:p>
    <w:tbl>
      <w:tblPr>
        <w:tblStyle w:val="4"/>
        <w:tblW w:w="140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40"/>
        <w:gridCol w:w="546"/>
        <w:gridCol w:w="966"/>
        <w:gridCol w:w="840"/>
        <w:gridCol w:w="1316"/>
        <w:gridCol w:w="812"/>
        <w:gridCol w:w="546"/>
        <w:gridCol w:w="546"/>
        <w:gridCol w:w="573"/>
        <w:gridCol w:w="546"/>
        <w:gridCol w:w="2086"/>
        <w:gridCol w:w="3835"/>
        <w:gridCol w:w="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0" w:hRule="atLeast"/>
          <w:tblHeader/>
          <w:jc w:val="center"/>
        </w:trPr>
        <w:tc>
          <w:tcPr>
            <w:tcW w:w="440"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序号</w:t>
            </w:r>
          </w:p>
        </w:tc>
        <w:tc>
          <w:tcPr>
            <w:tcW w:w="546"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主管部门</w:t>
            </w:r>
          </w:p>
        </w:tc>
        <w:tc>
          <w:tcPr>
            <w:tcW w:w="966"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改革事项</w:t>
            </w:r>
          </w:p>
        </w:tc>
        <w:tc>
          <w:tcPr>
            <w:tcW w:w="840"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许可证件名称</w:t>
            </w:r>
          </w:p>
        </w:tc>
        <w:tc>
          <w:tcPr>
            <w:tcW w:w="1316"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设定依据</w:t>
            </w:r>
          </w:p>
        </w:tc>
        <w:tc>
          <w:tcPr>
            <w:tcW w:w="812"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审批层级和部门</w:t>
            </w:r>
          </w:p>
        </w:tc>
        <w:tc>
          <w:tcPr>
            <w:tcW w:w="2211" w:type="dxa"/>
            <w:gridSpan w:val="4"/>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改革方式</w:t>
            </w:r>
          </w:p>
        </w:tc>
        <w:tc>
          <w:tcPr>
            <w:tcW w:w="2086"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具体改革举措</w:t>
            </w:r>
          </w:p>
        </w:tc>
        <w:tc>
          <w:tcPr>
            <w:tcW w:w="3835"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加强事中事后监管措施</w:t>
            </w:r>
          </w:p>
        </w:tc>
        <w:tc>
          <w:tcPr>
            <w:tcW w:w="953" w:type="dxa"/>
            <w:vMerge w:val="restart"/>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0" w:hRule="atLeast"/>
          <w:tblHeader/>
          <w:jc w:val="center"/>
        </w:trPr>
        <w:tc>
          <w:tcPr>
            <w:tcW w:w="440" w:type="dxa"/>
            <w:vMerge w:val="continue"/>
            <w:vAlign w:val="center"/>
          </w:tcPr>
          <w:p>
            <w:pPr>
              <w:widowControl/>
              <w:adjustRightInd w:val="0"/>
              <w:snapToGrid w:val="0"/>
              <w:jc w:val="left"/>
              <w:rPr>
                <w:rFonts w:hint="eastAsia" w:ascii="黑体" w:hAnsi="黑体" w:eastAsia="黑体" w:cs="宋体"/>
                <w:bCs/>
                <w:color w:val="000000"/>
                <w:kern w:val="0"/>
              </w:rPr>
            </w:pPr>
          </w:p>
        </w:tc>
        <w:tc>
          <w:tcPr>
            <w:tcW w:w="546" w:type="dxa"/>
            <w:vMerge w:val="continue"/>
            <w:vAlign w:val="center"/>
          </w:tcPr>
          <w:p>
            <w:pPr>
              <w:widowControl/>
              <w:adjustRightInd w:val="0"/>
              <w:snapToGrid w:val="0"/>
              <w:jc w:val="left"/>
              <w:rPr>
                <w:rFonts w:hint="eastAsia" w:ascii="黑体" w:hAnsi="黑体" w:eastAsia="黑体" w:cs="宋体"/>
                <w:bCs/>
                <w:color w:val="000000"/>
                <w:kern w:val="0"/>
              </w:rPr>
            </w:pPr>
          </w:p>
        </w:tc>
        <w:tc>
          <w:tcPr>
            <w:tcW w:w="966" w:type="dxa"/>
            <w:vMerge w:val="continue"/>
            <w:vAlign w:val="center"/>
          </w:tcPr>
          <w:p>
            <w:pPr>
              <w:widowControl/>
              <w:adjustRightInd w:val="0"/>
              <w:snapToGrid w:val="0"/>
              <w:jc w:val="left"/>
              <w:rPr>
                <w:rFonts w:hint="eastAsia" w:ascii="黑体" w:hAnsi="黑体" w:eastAsia="黑体" w:cs="宋体"/>
                <w:bCs/>
                <w:color w:val="000000"/>
                <w:kern w:val="0"/>
              </w:rPr>
            </w:pPr>
          </w:p>
        </w:tc>
        <w:tc>
          <w:tcPr>
            <w:tcW w:w="840" w:type="dxa"/>
            <w:vMerge w:val="continue"/>
            <w:vAlign w:val="center"/>
          </w:tcPr>
          <w:p>
            <w:pPr>
              <w:widowControl/>
              <w:adjustRightInd w:val="0"/>
              <w:snapToGrid w:val="0"/>
              <w:jc w:val="left"/>
              <w:rPr>
                <w:rFonts w:hint="eastAsia" w:ascii="黑体" w:hAnsi="黑体" w:eastAsia="黑体" w:cs="宋体"/>
                <w:bCs/>
                <w:color w:val="000000"/>
                <w:kern w:val="0"/>
              </w:rPr>
            </w:pPr>
          </w:p>
        </w:tc>
        <w:tc>
          <w:tcPr>
            <w:tcW w:w="1316" w:type="dxa"/>
            <w:vMerge w:val="continue"/>
            <w:vAlign w:val="center"/>
          </w:tcPr>
          <w:p>
            <w:pPr>
              <w:widowControl/>
              <w:adjustRightInd w:val="0"/>
              <w:snapToGrid w:val="0"/>
              <w:jc w:val="left"/>
              <w:rPr>
                <w:rFonts w:hint="eastAsia" w:ascii="黑体" w:hAnsi="黑体" w:eastAsia="黑体" w:cs="宋体"/>
                <w:bCs/>
                <w:color w:val="000000"/>
                <w:kern w:val="0"/>
              </w:rPr>
            </w:pPr>
          </w:p>
        </w:tc>
        <w:tc>
          <w:tcPr>
            <w:tcW w:w="812" w:type="dxa"/>
            <w:vMerge w:val="continue"/>
            <w:vAlign w:val="center"/>
          </w:tcPr>
          <w:p>
            <w:pPr>
              <w:widowControl/>
              <w:adjustRightInd w:val="0"/>
              <w:snapToGrid w:val="0"/>
              <w:jc w:val="left"/>
              <w:rPr>
                <w:rFonts w:hint="eastAsia" w:ascii="黑体" w:hAnsi="黑体" w:eastAsia="黑体" w:cs="宋体"/>
                <w:bCs/>
                <w:color w:val="000000"/>
                <w:kern w:val="0"/>
              </w:rPr>
            </w:pPr>
          </w:p>
        </w:tc>
        <w:tc>
          <w:tcPr>
            <w:tcW w:w="546" w:type="dxa"/>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直接取消审批</w:t>
            </w:r>
          </w:p>
        </w:tc>
        <w:tc>
          <w:tcPr>
            <w:tcW w:w="546" w:type="dxa"/>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审批改为备案</w:t>
            </w:r>
          </w:p>
        </w:tc>
        <w:tc>
          <w:tcPr>
            <w:tcW w:w="573" w:type="dxa"/>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实行告知承诺</w:t>
            </w:r>
          </w:p>
        </w:tc>
        <w:tc>
          <w:tcPr>
            <w:tcW w:w="546" w:type="dxa"/>
            <w:shd w:val="clear" w:color="auto" w:fill="auto"/>
            <w:vAlign w:val="center"/>
          </w:tcPr>
          <w:p>
            <w:pPr>
              <w:widowControl/>
              <w:adjustRightInd w:val="0"/>
              <w:snapToGrid w:val="0"/>
              <w:jc w:val="center"/>
              <w:rPr>
                <w:rFonts w:hint="eastAsia" w:ascii="黑体" w:hAnsi="黑体" w:eastAsia="黑体" w:cs="宋体"/>
                <w:bCs/>
                <w:color w:val="000000"/>
                <w:kern w:val="0"/>
              </w:rPr>
            </w:pPr>
            <w:r>
              <w:rPr>
                <w:rFonts w:hint="eastAsia" w:ascii="黑体" w:hAnsi="黑体" w:eastAsia="黑体" w:cs="宋体"/>
                <w:bCs/>
                <w:color w:val="000000"/>
                <w:kern w:val="0"/>
              </w:rPr>
              <w:t>优化审批服务</w:t>
            </w:r>
          </w:p>
        </w:tc>
        <w:tc>
          <w:tcPr>
            <w:tcW w:w="2086" w:type="dxa"/>
            <w:vMerge w:val="continue"/>
            <w:vAlign w:val="center"/>
          </w:tcPr>
          <w:p>
            <w:pPr>
              <w:widowControl/>
              <w:adjustRightInd w:val="0"/>
              <w:snapToGrid w:val="0"/>
              <w:rPr>
                <w:rFonts w:hint="eastAsia" w:ascii="黑体" w:hAnsi="黑体" w:eastAsia="黑体" w:cs="宋体"/>
                <w:bCs/>
                <w:color w:val="000000"/>
                <w:kern w:val="0"/>
              </w:rPr>
            </w:pPr>
          </w:p>
        </w:tc>
        <w:tc>
          <w:tcPr>
            <w:tcW w:w="3835" w:type="dxa"/>
            <w:vMerge w:val="continue"/>
            <w:vAlign w:val="center"/>
          </w:tcPr>
          <w:p>
            <w:pPr>
              <w:widowControl/>
              <w:adjustRightInd w:val="0"/>
              <w:snapToGrid w:val="0"/>
              <w:rPr>
                <w:rFonts w:hint="eastAsia" w:ascii="黑体" w:hAnsi="黑体" w:eastAsia="黑体" w:cs="宋体"/>
                <w:bCs/>
                <w:color w:val="000000"/>
                <w:kern w:val="0"/>
              </w:rPr>
            </w:pPr>
          </w:p>
        </w:tc>
        <w:tc>
          <w:tcPr>
            <w:tcW w:w="953" w:type="dxa"/>
            <w:vMerge w:val="continue"/>
            <w:vAlign w:val="center"/>
          </w:tcPr>
          <w:p>
            <w:pPr>
              <w:widowControl/>
              <w:adjustRightInd w:val="0"/>
              <w:snapToGrid w:val="0"/>
              <w:jc w:val="left"/>
              <w:rPr>
                <w:rFonts w:hint="eastAsia" w:ascii="黑体" w:hAnsi="黑体" w:eastAsia="黑体" w:cs="宋体"/>
                <w:bCs/>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4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教育部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实施中等及中等以下学历教育、学前教育、自学考试助学及其他文化教育的民办学校筹设审批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筹设批准书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《中华人民共和国民办教育促进法》《中华人民共和国民办教育促进法实施条例》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县级以上地方教育部门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举办实施中等及中等以下学历教育、学前教育、自学考试助学及其他文化教育的民办学校，不再向教育部门申请办理筹设审批，直接申请办理办学许可。</w:t>
            </w:r>
          </w:p>
        </w:tc>
        <w:tc>
          <w:tcPr>
            <w:tcW w:w="3835" w:type="dxa"/>
            <w:shd w:val="clear" w:color="auto" w:fill="auto"/>
            <w:vAlign w:val="center"/>
          </w:tcPr>
          <w:p>
            <w:pPr>
              <w:widowControl/>
              <w:adjustRightInd w:val="0"/>
              <w:snapToGrid w:val="0"/>
              <w:spacing w:line="240" w:lineRule="exact"/>
              <w:rPr>
                <w:rFonts w:hint="eastAsia" w:ascii="方正书宋_GBK" w:hAnsi="宋体" w:eastAsia="方正书宋_GBK" w:cs="宋体"/>
                <w:color w:val="000000"/>
                <w:spacing w:val="-6"/>
                <w:kern w:val="0"/>
              </w:rPr>
            </w:pPr>
            <w:r>
              <w:rPr>
                <w:rFonts w:hint="eastAsia" w:ascii="方正书宋_GBK" w:hAnsi="宋体" w:eastAsia="方正书宋_GBK" w:cs="宋体"/>
                <w:color w:val="000000"/>
                <w:spacing w:val="-6"/>
                <w:kern w:val="0"/>
              </w:rPr>
              <w:t>1.实施“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4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公安部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互联网上网服务营业场所信息网络安全审核</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批准文件</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《互联网上网服务营业场所管理条例》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省、设区的市、县级公安机关</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取消”互联网上网服务营业场所信息网络安全审核”</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部门间信息共享，市场监管部门在企业登记后及时将有关信息推送至相关公安机关，文化和旅游部门在实施互联网上网服务营业场所审批后及时将有关信息推送至同级公安机关，公安机关及时纳入监管范围。2.实施“双随机、一公开”监管，依法查处违法违规行为。3.加强信用监管，建立从业人员信用档案，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6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财政部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中介机构从事代理记账业务审批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代理记账许可证书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《中华人民共和国会计法》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县级以上地方财政部门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优化“中介机构从事代理记账业务审批”</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充分运用市场监管部门共享的代理记账中介机构登记注册信息加强监管。2.加强对代理记账行业协会的指导，提升行业自律水平。3.根据会计信息质量检查等执法工作中发现的线索，对相关代理记账中介机构实施重点监管。</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8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人力资源社会保障部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民办普通、高级技工学校筹设审批</w:t>
            </w:r>
          </w:p>
        </w:tc>
        <w:tc>
          <w:tcPr>
            <w:tcW w:w="8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无</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《中华人民共和国民办教育促进法》《中华人民共和国民办教育促进法实施条例》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省级人力资源社会保障部门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举办民办普通、高级技工学校不再向人力资源社会保障部门申请办理筹设审批，直接申请办理办学许可。</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1.实施“双随机、一公开”监管，依法查处违法违规行为。2.加强日常监管，依法及时处理投诉举报。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2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5</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从事生活垃圾（含粪便）经营性清扫、收集、运输服务审批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从事生活垃圾（含粪便）经营性清扫、收集、运输服务审批许可证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《国务院对确需保留的行政审批项目设定行政许可的决定》</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县级以上地方住房城乡建设（环境卫生）部门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取消“从事生活垃圾（含粪便）经营性清扫、收集、运输服务审批”。</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1.构建生活垃圾经营性服务全过程监管体系，强化日常监管。2.推动生活垃圾无害化处理设施建设和运营信息公开。</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9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6</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商务部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对外贸易经营者备案登记</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对外贸易经营者备案登记表</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《中华人民共和国对外贸易法》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县级以上地方商务部门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取消“对外贸易经营者备案登记”。</w:t>
            </w:r>
          </w:p>
        </w:tc>
        <w:tc>
          <w:tcPr>
            <w:tcW w:w="3835" w:type="dxa"/>
            <w:shd w:val="clear" w:color="auto" w:fill="auto"/>
            <w:vAlign w:val="center"/>
          </w:tcPr>
          <w:p>
            <w:pPr>
              <w:widowControl/>
              <w:adjustRightInd w:val="0"/>
              <w:snapToGrid w:val="0"/>
              <w:spacing w:line="240" w:lineRule="exac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实施“双随机、一公开”监管等事中事后监管，发现违法违规行为的，要依法予以查处并公开结果，对严重违法违规的企业依法联合实施市场禁入措施。3.加强信用监管，建立经营主体信用记录，依法依规实施失信惩戒。4.支持行业协会发挥自律作用。</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0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7</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市场监管总局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承担国家法定计量检定机构任务授权审批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计量授权证书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w:t>
            </w:r>
            <w:r>
              <w:rPr>
                <w:rFonts w:hint="eastAsia" w:ascii="方正书宋_GBK" w:hAnsi="宋体" w:eastAsia="方正书宋_GBK" w:cs="宋体"/>
                <w:color w:val="000000"/>
                <w:kern w:val="0"/>
              </w:rPr>
              <w:br w:type="textWrapping"/>
            </w:r>
            <w:r>
              <w:rPr>
                <w:rFonts w:hint="eastAsia" w:ascii="方正书宋_GBK" w:hAnsi="宋体" w:eastAsia="方正书宋_GBK" w:cs="宋体"/>
                <w:color w:val="000000"/>
                <w:kern w:val="0"/>
              </w:rPr>
              <w:t>共和国计量</w:t>
            </w:r>
            <w:r>
              <w:rPr>
                <w:rFonts w:hint="eastAsia" w:ascii="方正书宋_GBK" w:hAnsi="宋体" w:eastAsia="方正书宋_GBK" w:cs="宋体"/>
                <w:color w:val="000000"/>
                <w:kern w:val="0"/>
              </w:rPr>
              <w:br w:type="textWrapping"/>
            </w:r>
            <w:r>
              <w:rPr>
                <w:rFonts w:hint="eastAsia" w:ascii="方正书宋_GBK" w:hAnsi="宋体" w:eastAsia="方正书宋_GBK" w:cs="宋体"/>
                <w:color w:val="000000"/>
                <w:kern w:val="0"/>
              </w:rPr>
              <w:t>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县级以上地方市场监管部门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取消“承担国家法定计量检定机构任务授权审批”。</w:t>
            </w:r>
          </w:p>
        </w:tc>
        <w:tc>
          <w:tcPr>
            <w:tcW w:w="3835" w:type="dxa"/>
            <w:shd w:val="clear" w:color="auto" w:fill="auto"/>
            <w:vAlign w:val="center"/>
          </w:tcPr>
          <w:p>
            <w:pPr>
              <w:widowControl/>
              <w:adjustRightInd w:val="0"/>
              <w:snapToGrid w:val="0"/>
              <w:spacing w:line="240" w:lineRule="exac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对通过投诉举报等渠道反映问题多的机构实施重点监管。3.加强信用监管，依法向社会公布承担国家法定计量检定机构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市市场监管局、济南高新区管委会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2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8</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国家药监局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药品零售企业筹建审批</w:t>
            </w:r>
          </w:p>
        </w:tc>
        <w:tc>
          <w:tcPr>
            <w:tcW w:w="8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无</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《中华人民共和国药品管理法实施条例》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设区的县级药监部门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开办药品零售企业不再向药监部门申请办理筹建审批，直接申请办理药品经营许可。</w:t>
            </w:r>
          </w:p>
        </w:tc>
        <w:tc>
          <w:tcPr>
            <w:tcW w:w="3835" w:type="dxa"/>
            <w:shd w:val="clear" w:color="auto" w:fill="auto"/>
            <w:vAlign w:val="center"/>
          </w:tcPr>
          <w:p>
            <w:pPr>
              <w:widowControl/>
              <w:adjustRightInd w:val="0"/>
              <w:snapToGrid w:val="0"/>
              <w:spacing w:line="240" w:lineRule="exac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全面落实新修订的药品管理法规定，进一步完善有关部门规章内容，细化监管要求，推动属地监管部门强化监督检查，落实监管责任。2.落实“四个最严”要求，制定年度监管计划，突出监管重点，强化风险控制。3.通过日常监管督促企业不断完善、改进质量管理体系，持续合法合规经营。4.对违法违规行为，依法严厉查处并公开曝光。</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0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9</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教育部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实施自学考试助学的民办学校设立、变更和终止审批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中华人民共和国民办学校办学许可证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《中华人民共和国民办教育促进法》《中华人民共和国民办教育促进法实施条例》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县级以上地方教育部门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对实施自学考试助学的民办学校，取消办学许可，改为备案管理。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spacing w:val="-4"/>
                <w:kern w:val="0"/>
              </w:rPr>
            </w:pPr>
            <w:r>
              <w:rPr>
                <w:rFonts w:hint="eastAsia" w:ascii="方正书宋_GBK" w:hAnsi="宋体" w:eastAsia="方正书宋_GBK" w:cs="宋体"/>
                <w:color w:val="000000"/>
                <w:spacing w:val="-4"/>
                <w:kern w:val="0"/>
              </w:rPr>
              <w:t>1.实施“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2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10</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公安部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公章刻制业特种行业许可证核发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公章刻制业特种行业许可证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《国务院对确需保留的行政审批项目设定行政许可的决定》《印铸刻字业暂行管理规则》</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设区的市、县级公安机关</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取消“公章刻制业特种行业许可证核发”改为备案管理。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对备案内容真实性的核查，发现未依法备案、提供虚假备案材料、不符合法定条件的，依法予以处理。2.实施“双随机、一公开”监管，发现违法违规行为的，要依法予以查处并公开结果。3.加强跨部门联合监管和信用监管，依法依规对失信主体实施失信惩戒。4.加强公章刻制备案管理，督促公章刻制企业严格落实公章刻制备案管理要求，及时规范上传报送公章刻制备案信息。</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市公安局，历下区、历城区政府，济南高新区管委会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97"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11</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商务部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从事拍卖业务许可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拍卖经营批准证书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《中华人民共和国拍卖法》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省级商务部门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取消“从事拍卖业务许可”，改为备案管理。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1.加强备案管理，督促有关企业按规定报送信息。对未按规定备案或者备案信息不实的，会同有关部门依法调查处理并予以纠正。2.完善监管措施，加强对拍卖师的监督管理。</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41"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12</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国家卫生健康委</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社会办医疗机构乙类大型医用设备配置许可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乙类大型医用设备配置许可证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《医疗器械监督管理条例》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省级卫生健康部门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取消“社会办医疗机构乙类大型医用设备配置许可”，改为备案管理，不受大型医用设备配置规划限制。</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对医疗机构执业活动的监管，对有不良信用记录的医疗机构，提高监督检查频次，发现违法违规行为的，要依法予以查处并公开结果。2.加强信用监管，依法向社会公布有关医疗机构信用状况，对严重失信主体依法实施行业禁入措施。3.依法及时处理投诉举报。4.加强行业自律。</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6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13</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国家卫生健康委</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音乐厅、展览馆、博物馆、美术馆、图书馆、书店、录像厅（室）的公共场所卫生许可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卫生许可证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《公共场所卫生管理条例》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县级以上地方卫生健康部门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对音乐厅、展览馆、博物馆、美术馆、图书馆、书店、录像厅（室），取消“公共场所卫生许可”，改为备案管理。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1.实施“双随机、一公开”监管，发现违法违规行为的，要依法予以查处并公开结果。2.畅通投诉举报渠道，依法及时处理投诉举报。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2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14</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国家药监局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药品互联网信息服务审批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互联网药品信息服务资格证书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《互联网信息服务管理办法》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省级药监部门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取消“药品互联网信息服务审批”，改为备案管理。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spacing w:val="-6"/>
                <w:kern w:val="0"/>
              </w:rPr>
            </w:pPr>
            <w:r>
              <w:rPr>
                <w:rFonts w:hint="eastAsia" w:ascii="方正书宋_GBK" w:hAnsi="宋体" w:eastAsia="方正书宋_GBK" w:cs="宋体"/>
                <w:color w:val="000000"/>
                <w:spacing w:val="-6"/>
                <w:kern w:val="0"/>
              </w:rPr>
              <w:t>1.建立完善药品网络销售规章制度，加强药品网络销售监测，提升监管效率。2.对各类违法违规网络销售药品行为依法予以查处和严厉打击。3.违法违规行为涉及通信管理等其他部门的，及时移交有关部门处理；涉嫌犯罪的，及时移送公安机关查处。</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1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15</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国家药监局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医疗器械互联网信息服务审批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互联网药品信息服务资格证书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《互联网信息服务管理办法》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省级药监部门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取消“医疗器械互联网信息服务审批”，改为备案管理。</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线上线下监管，严厉打击提供不真实医疗器械互联网信息服务、利用网络违规销售医疗器械等行为，对发现的违法违规行为依法予以查处，及时公开处罚结果。2.违法违规行为涉及通信管理等其他部门的，及时移交有关部门处理；涉嫌犯罪的，及时移送公安机关查处。</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6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16</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人力资源社会保障部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劳务派遣经营许可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劳务派遣经营许可证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《中华人民共和国劳动合同法》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县级以上地方人力资源社会保障部门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对以告知承诺方式取得经营许可的劳务派遣单位，加强对其承诺真实性的核查，发现虚假承诺或者承诺严重不实的，要依法依规予以处理。2.加强劳动保障监察执法，实施“双随机，一公开”监管，对取得劳务派遣许可证满一年但未报告年度经营情况或未开展经营活动的劳务派遣单位定期开展检查。3.对劳务派遣单位进行信用评价、风险评估或者黑名单管理，依法向社会公布劳务派遣单位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38"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17</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房地产开发企业二级资质核定</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房地产开发企业资质证书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《中华人民共和国城市房地产管理法》《城市房地产开发经营管理条例》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1.实施“双随机、一公开”监管，对企业履行承诺情况进行监督检查，依法查处违法违规行为并公开结果。2.加强信用监管，依法依规对失信主体实施失信惩戒。3.发挥行业协会自律作用。</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市行政审批服务局，中国（山东）自贸试验区济南片区管委会，历下区、历城区政府，济南高新区管委会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92"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18</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建筑业企业资质认定（部分施工总承包乙级、部分专业承包，燃气燃烧器具安装维修企业）</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建筑业企业资质证书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《中华人民共和国建筑法》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实施“双随机、一公开”监管，对在建工程项目实施重点监管，依法查处违法违规行为并公开结果。3.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6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19</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建设工程勘察企业资质认定（乙级）</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工程勘察资质证书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《中华人民共和国建筑法》《建设工程勘察设计管理条例》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实施“双随机、一公开”监管，对在建工程项目实施重点监管，依法查处违法违规行为并公开结果。3.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市行政审批服务局，中国（山东）自贸试验区济南片区管委会，历下区、历城区政府，济南高新区管委会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6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20</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建设工程设计企业资质认定（部分乙级）</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工程设计资质证书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《中华人民共和国建筑法》《建设工程勘察设计管理条例》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实施“双随机、一公开”监管，对在建工程项目实施重点监管，依法查处违法违规行为并公开结果。3.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市行政审批服务局，中国（山东）自贸试验区济南片区管委会，历下区、历城区政府，济南高新区管委会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2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21</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工程监理企业资质认定（房屋建筑工程市政公用工程专业甲级）</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工程监理资质证书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《中华人民共和国建筑法》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住房城乡建设部、省级住房城乡建设部门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实施“双随机、一公开”监管，对在建工程项目实施重点监管，依法查处违法违规行为并公开结果。3.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31"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22</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工程监理企业资质认定（专业乙级）</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工程监理资质证书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《中华人民共和国建筑法》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省级、设区的市级住房城乡建设部门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实施“双随机、一公开”监管，对在建工程项目实施重点监管，依法查处违法违规行为并公开结果。3.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市行政审批服务局，中国（山东）自贸试验区济南片区管委会，历下区、历城区政府，济南高新区管委会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91"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23</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住房城乡建设部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建筑施工企业安全生产许可证核发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建筑施工企业安全生产许可证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《安全生产许可证条例》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省级住房城乡建设部门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1.发现企业不符合承诺条件开展经营的，责令限期整改，逾期不整改或整改后仍达不到要求的，依法撤销许可证件。2.对企业安全生产管理不到位造成事故的，加大行政处罚力度。</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市行政审批服务局，中国（山东）自贸试验区济南片区管委会，历下区、历城区政府，济南高新区管委会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63"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24</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交通运输部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经营国内船舶管理业务审批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国内船舶管理业务经营许可证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《国内水路运输管理条例》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省、设区的市级水路运输部门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对诚信状况差、投诉举报多、受处罚警告多的经营主体提高抽查比例。2.加强对国内船舶管理企业的年度书面检查，发现不具备经营许可条件的，要依法及时予以处理。3.对不符合承诺条件开展经营的，责令限期整改，逾期不整改或整改后仍达不到要求的，依法撤销许可证件，且在规定期限内不得再通过告知承诺方式办理该项审批。</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42"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25</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交通运输部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建设港口设施使用非深水岸线审批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批准文件</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《中华人民共和国港口法》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县级以上地方交通运输（港口）部门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加强信用监管，将港口岸线使用有关信用信息纳入相关信用信息共享平台并向社会公布。</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3"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26</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食用菌菌种生产经营许可证核发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食用菌菌种生产经营许可证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《中华人民共和国种子法》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县级以上地方农业农村部门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1.实施“双随机、一公开”监管，严肃查处虚假承诺行为。2.加强信用监管，依法向社会公布种业企业信用状况，依法依规对失信主体实施失信惩戒。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24"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27</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种畜禽生产经营许可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种畜禽生产经营许可证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《中华人民共和国畜牧法》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县级以上地方农业农村部门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1.实施“双随机、一公开”监管，严肃查处虚假承诺行为。2.加强信用监管，依法向社会公布种业企业信用状况，依法依规对失信主体实施失信惩戒。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42"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28</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蚕种生产经营许可证核发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蚕种生产经营许可证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《中华人民共和国畜牧法》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县级以上地方农业农村部门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加强对企业承诺内容真实性的核查，发现虚假承诺或者承诺严重不实的，要依法予以处理。2.加强信用监管，依法向社会公布种业企业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3"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29</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生猪定点屠宰厂（场）设置审查</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生猪定点屠宰证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《生猪屠宰管理条例》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设区的市级人民政府</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66"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30</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生鲜乳准运证明核发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生鲜乳准运证明</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《乳品质量安全监督管理条例》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县级农业农村（畜牧兽医）部门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1.实施“双随机、一公开”监管，发现违法违规行为的，要依法予以查处并公开结果。2.加强对生鲜乳运输车辆的监管，将车辆全部纳入监管监测信息系统，实时掌握运营情况。</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4"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31</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兽药经营许可证核发（非生物制品类）</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兽药经营许可证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《兽药管理条例》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设区的市、县级农业农村部门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对以告知承诺方式取得经营许可证的企业，加强对其承诺内容真实性的核查，发现虚假承诺或承诺严重不实的，要依法予以处理。2.实施“双随机、一公开”监管，对风险等级高、投诉举报多的企业增加抽检数量和频次，实施重点监管。</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3"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32</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动物诊疗许可证核发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动物诊疗许可证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《中华人民共和国动物防疫法》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县级以上地方农业农村部门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对以告知承诺方式取得经营许可证的企业，加强对其承诺内容真实性的核查，发现虚假承诺或者承诺严重不实的，要依法予以处理。</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41"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33</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农业农村部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水产苗种场（不含原种场）的水产苗种生产许可证核发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水产苗种生产许可证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《中华人民共和国渔业法》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设区的市、县级农业农村（渔业）部门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1.加强对企业承诺内容真实性的核查，发现虚假承诺或者承诺严重不实的，要依法予以处理。2.实施“双随机、一公开”监管，及时处理投诉举报，依法查处违法违规行为。3.加强信用监管。</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7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34</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商务部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对外劳务合作经营资格核准</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对外劳务合作经营资格证书</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《中华人民共和国对外贸易法》《对外劳务合作管理条例》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省、设区的市级商务部门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1.实施“双随机、一公开”监管，发现违法违规行为的，要依法予以查处并公开结果。2.支持行业协会发挥自律作用。</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83"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35</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文化和旅游部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旅行社设立许可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旅行社业务经营许可证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《中华人民共和国旅游法》《旅行社条例》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省、设区的市级文化和旅游部门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1.实施“双随机、一公开”监管，发现未经许可经营旅行社业务，出租、出借、转让业务经营许可证等违法违规行为的，要依法予以查处并公开结果。2.加强信用监管，依法依规对失信主体实施失信惩戒。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2"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36</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国家卫生健康委</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生产用于传染病防治的消毒产品的单位审批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消毒产品生产企业卫生许可证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《中华人民共和国传染病防治法》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省级卫生健康部门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1.实施“双随机、一公开”监管，发现违法违规行为的，要依法予以查处并公开结果。2.开展消毒产品生产企业分类监督、综合评价工作。</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68"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37</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国家卫生健康委</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麻醉药品和第一类精神药品购用许可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麻醉药品和第一类精神药品购用印鉴卡</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《麻醉药品和精神药品管理条例》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设区的市级卫生健康部门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通过医疗机构电子化注册系统，及时掌握医疗机构登记注册信息。2.继续推行印鉴卡电子化管理，及时掌握麻醉药品和第一类精神药品采购和使用量等信息。3.通过医疗机构合理用药考核工作，对麻醉药品和第一类精神药品的管理加强监督检查和指导。</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市卫生健康委、济南高新区管委会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27"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38</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应急管理部</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危险化学品经营（无储存）许可证核发</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危险化学品经营许可证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《危险化学品安全管理条例》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设区的市县级应急管理部门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1.实施“双随机、一公开”监管，发现违法违规行为的，要依法予以查处并公开结果。2.加强信用监管依法向社会公布危险化学品经营企业信用状况，依法依规对失信主体实施失信惩戒。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市应急局，历下区、历城区政府，济南高新区管委会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98"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39</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市场监管总局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食品生产许可（低风险食品）</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食品生产许可证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《中华人民共和国食品安全法》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县级以上地方市场监管部门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在发放许可证后30个工作日内对食品生产主体实施监督检查，对检查发现不能保证食品安全的企业撤销食品生产许可，对违法违规企业依法予以查处。</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6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40</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广电总局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广播电视视频点播业务（乙种）审批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广播电视视频点播业务许可证（乙种）</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《国务院对确需保留的行政审批项目设定行政许可的决定》</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省级广电部门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属地广电部门切实履行管理职责，采取有效措施防止违法违规内容播出，实施“双随机、一公开”监管，发现违法违规行为的，要依法予以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7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41</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广电总局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广播电视节目制作经营单位设立审批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广播电视节目制作经营许可证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《广播电视管理条例》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广电总局；省级广电部门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通过审核股权构成、加强日常监听监看、受理群众举报等途径，对企业经营情况进行监管。发现企业不符合承诺条件开展经营的，责令限期整改，逾期不整改或整改后仍达不到要求的，依法撤销许可证件。</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20"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42</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体育总局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经营高危险性体育项目许可</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经营高危险性体育项目许可证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《全民健身条例》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县级以上地方体育部门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建立健全跨区域、跨层级、跨部门协同监管制度，推进联合执法。3.加强信用监管，将有严重违法违规行为的机构列入黑名单，依法依规对相关经营主体和从业人员实施信用约束和失信惩戒。</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85"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43</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新闻出版署</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出版物零售个体工商户设立、变更审批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出版物经营许可证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《出版管理条例》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县级新闻出版部门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实施“双随机、一公开”监管，发现违法违规行为的，要依法予以查处并公开结果。2.发现企业不符合承诺条件开展经营的，责令限期整改，逾期不整改或整改后仍达不到要求的，依法撤销许可证件。3.依法及时处理投诉举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历下区、历城区政府，济南高新区管委会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74"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44</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中国气象局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升放无人驾驶自由气球、系留气球单位资质认定</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升放气球资质证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《国务院对确需保留的行政审批项目设定行政许可的决定》</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省、设区的市级气象主管机构</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对承诺内容真实性的核查，发现取得资质的单位不符合承诺条件开展经营的，责令限期整改，逾期不整改或整改后仍达不到要求的，依法撤销许可证件。2.通过“双随机、一公开”监管、跨部门联合监管等方式，对升放无人驾驶自由气球、系留气球活动实施严格监管，发现违法违规行为的，要依法予以查处并公开结果。3.加强对升放气球行为的法律法规和科普宣传，提高升放单位和社会公众的安全意识。</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市气象局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96" w:hRule="atLeast"/>
          <w:jc w:val="center"/>
        </w:trPr>
        <w:tc>
          <w:tcPr>
            <w:tcW w:w="440"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45</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国家烟草局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设立烟叶收购站（点）审批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烟草专卖烟叶收购证</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《中华人民共和国烟草专卖法实施条例》</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设区的市级烟草部门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严格管理烟叶收购经营秩序，除个别地区另有规定外，严禁烟草公司以外市场主体从事烟叶收购。2.实施“双随机、一公开”监管，发现违法违规行为的，要依法予以查处并公开结果。3.根据投诉举报开展重点检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市烟草专卖局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06" w:hRule="atLeast"/>
          <w:jc w:val="center"/>
        </w:trPr>
        <w:tc>
          <w:tcPr>
            <w:tcW w:w="440" w:type="dxa"/>
            <w:shd w:val="clear" w:color="auto" w:fill="auto"/>
            <w:noWrap/>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46</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国家文物局</w:t>
            </w:r>
          </w:p>
        </w:tc>
        <w:tc>
          <w:tcPr>
            <w:tcW w:w="96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文物商店设立审批</w:t>
            </w:r>
          </w:p>
        </w:tc>
        <w:tc>
          <w:tcPr>
            <w:tcW w:w="840"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批准文件</w:t>
            </w:r>
          </w:p>
        </w:tc>
        <w:tc>
          <w:tcPr>
            <w:tcW w:w="1316" w:type="dxa"/>
            <w:shd w:val="clear" w:color="auto" w:fill="auto"/>
            <w:vAlign w:val="center"/>
          </w:tcPr>
          <w:p>
            <w:pPr>
              <w:widowControl/>
              <w:adjustRightInd w:val="0"/>
              <w:snapToGrid w:val="0"/>
              <w:jc w:val="left"/>
              <w:rPr>
                <w:rFonts w:hint="eastAsia" w:ascii="方正书宋_GBK" w:hAnsi="宋体" w:eastAsia="方正书宋_GBK" w:cs="宋体"/>
                <w:color w:val="000000"/>
                <w:kern w:val="0"/>
              </w:rPr>
            </w:pPr>
            <w:r>
              <w:rPr>
                <w:rFonts w:hint="eastAsia" w:ascii="方正书宋_GBK" w:hAnsi="宋体" w:eastAsia="方正书宋_GBK" w:cs="宋体"/>
                <w:color w:val="000000"/>
                <w:kern w:val="0"/>
              </w:rPr>
              <w:t>《中华人民共和国文物保护法》</w:t>
            </w:r>
          </w:p>
        </w:tc>
        <w:tc>
          <w:tcPr>
            <w:tcW w:w="812"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省级文物部门</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57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w:t>
            </w:r>
          </w:p>
        </w:tc>
        <w:tc>
          <w:tcPr>
            <w:tcW w:w="546"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p>
        </w:tc>
        <w:tc>
          <w:tcPr>
            <w:tcW w:w="2086"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制作并公布告知承诺书格式文本，一次性告知申请人许可条件和所需材料。对申请人自愿承诺符合许可条件并按要求提交材料的，当场作出许可决定。</w:t>
            </w:r>
          </w:p>
        </w:tc>
        <w:tc>
          <w:tcPr>
            <w:tcW w:w="3835" w:type="dxa"/>
            <w:shd w:val="clear" w:color="auto" w:fill="auto"/>
            <w:vAlign w:val="center"/>
          </w:tcPr>
          <w:p>
            <w:pPr>
              <w:widowControl/>
              <w:adjustRightInd w:val="0"/>
              <w:snapToGrid w:val="0"/>
              <w:rPr>
                <w:rFonts w:hint="eastAsia" w:ascii="方正书宋_GBK" w:hAnsi="宋体" w:eastAsia="方正书宋_GBK" w:cs="宋体"/>
                <w:color w:val="000000"/>
                <w:kern w:val="0"/>
              </w:rPr>
            </w:pPr>
            <w:r>
              <w:rPr>
                <w:rFonts w:hint="eastAsia" w:ascii="方正书宋_GBK" w:hAnsi="宋体" w:eastAsia="方正书宋_GBK" w:cs="宋体"/>
                <w:color w:val="000000"/>
                <w:kern w:val="0"/>
              </w:rPr>
              <w:t>1.加强对文物商店经营活动的日常巡查和随机抽查，发现问题依法及时予以处理。2.开展文物购销记录信息抽检。3.公开文物商店名录，接受社会监督，依法及时处理投诉举报。</w:t>
            </w:r>
          </w:p>
        </w:tc>
        <w:tc>
          <w:tcPr>
            <w:tcW w:w="953" w:type="dxa"/>
            <w:shd w:val="clear" w:color="auto" w:fill="auto"/>
            <w:vAlign w:val="center"/>
          </w:tcPr>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市行政审批服务局，历下区、历城区政府，</w:t>
            </w:r>
          </w:p>
          <w:p>
            <w:pPr>
              <w:widowControl/>
              <w:adjustRightInd w:val="0"/>
              <w:snapToGrid w:val="0"/>
              <w:jc w:val="center"/>
              <w:rPr>
                <w:rFonts w:hint="eastAsia" w:ascii="方正书宋_GBK" w:hAnsi="宋体" w:eastAsia="方正书宋_GBK" w:cs="宋体"/>
                <w:color w:val="000000"/>
                <w:kern w:val="0"/>
              </w:rPr>
            </w:pPr>
            <w:r>
              <w:rPr>
                <w:rFonts w:hint="eastAsia" w:ascii="方正书宋_GBK" w:hAnsi="宋体" w:eastAsia="方正书宋_GBK" w:cs="宋体"/>
                <w:color w:val="000000"/>
                <w:kern w:val="0"/>
              </w:rPr>
              <w:t>济南高新区管委会</w:t>
            </w:r>
          </w:p>
        </w:tc>
      </w:tr>
    </w:tbl>
    <w:p>
      <w:pPr>
        <w:adjustRightInd w:val="0"/>
        <w:snapToGrid w:val="0"/>
        <w:rPr>
          <w:rFonts w:hint="eastAsia" w:ascii="黑体" w:hAnsi="黑体" w:eastAsia="黑体" w:cs="黑体"/>
          <w:sz w:val="32"/>
          <w:szCs w:val="32"/>
        </w:rPr>
      </w:pPr>
    </w:p>
    <w:p>
      <w:pPr>
        <w:adjustRightInd w:val="0"/>
        <w:snapToGrid w:val="0"/>
        <w:rPr>
          <w:rFonts w:hint="eastAsia" w:ascii="黑体" w:hAnsi="黑体" w:eastAsia="黑体" w:cs="黑体"/>
          <w:sz w:val="32"/>
          <w:szCs w:val="32"/>
        </w:rPr>
      </w:pPr>
    </w:p>
    <w:p>
      <w:pPr>
        <w:adjustRightInd w:val="0"/>
        <w:snapToGrid w:val="0"/>
        <w:rPr>
          <w:rFonts w:hint="eastAsia" w:ascii="黑体" w:hAnsi="黑体" w:eastAsia="黑体" w:cs="黑体"/>
          <w:sz w:val="32"/>
          <w:szCs w:val="32"/>
        </w:rPr>
      </w:pPr>
    </w:p>
    <w:p>
      <w:pPr>
        <w:adjustRightInd w:val="0"/>
        <w:snapToGrid w:val="0"/>
        <w:rPr>
          <w:rFonts w:hint="eastAsia" w:ascii="黑体" w:hAnsi="黑体" w:eastAsia="黑体" w:cs="黑体"/>
          <w:sz w:val="32"/>
          <w:szCs w:val="32"/>
        </w:rPr>
      </w:pPr>
    </w:p>
    <w:p>
      <w:pPr>
        <w:adjustRightInd w:val="0"/>
        <w:snapToGrid w:val="0"/>
        <w:rPr>
          <w:rFonts w:hint="eastAsia" w:ascii="黑体" w:hAnsi="黑体" w:eastAsia="黑体" w:cs="黑体"/>
          <w:sz w:val="32"/>
          <w:szCs w:val="32"/>
        </w:rPr>
      </w:pPr>
    </w:p>
    <w:p/>
    <w:sectPr>
      <w:footerReference r:id="rId4" w:type="default"/>
      <w:headerReference r:id="rId3" w:type="even"/>
      <w:footerReference r:id="rId5" w:type="even"/>
      <w:pgSz w:w="16838" w:h="11906" w:orient="landscape"/>
      <w:pgMar w:top="1644" w:right="1418" w:bottom="1474" w:left="1701" w:header="851" w:footer="992"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445" w:hRule="exact" w:wrap="around" w:vAnchor="text" w:hAnchor="page" w:x="1124" w:y="-1735"/>
      <w:jc w:val="center"/>
      <w:rPr>
        <w:rStyle w:val="6"/>
        <w:rFonts w:hint="eastAsia" w:ascii="方正书宋_GBK" w:eastAsia="方正书宋_GBK"/>
        <w:sz w:val="28"/>
        <w:szCs w:val="28"/>
      </w:rPr>
    </w:pPr>
    <w:r>
      <w:rPr>
        <w:rStyle w:val="6"/>
        <w:rFonts w:hint="eastAsia" w:ascii="方正书宋_GBK" w:eastAsia="方正书宋_GBK"/>
        <w:sz w:val="28"/>
        <w:szCs w:val="28"/>
      </w:rPr>
      <w:t xml:space="preserve"> — </w:t>
    </w:r>
    <w:r>
      <w:rPr>
        <w:rStyle w:val="6"/>
        <w:rFonts w:hint="eastAsia" w:ascii="方正书宋_GBK" w:eastAsia="方正书宋_GBK"/>
        <w:sz w:val="28"/>
        <w:szCs w:val="28"/>
      </w:rPr>
      <w:fldChar w:fldCharType="begin"/>
    </w:r>
    <w:r>
      <w:rPr>
        <w:rStyle w:val="6"/>
        <w:rFonts w:hint="eastAsia" w:ascii="方正书宋_GBK" w:eastAsia="方正书宋_GBK"/>
        <w:sz w:val="28"/>
        <w:szCs w:val="28"/>
      </w:rPr>
      <w:instrText xml:space="preserve">PAGE  </w:instrText>
    </w:r>
    <w:r>
      <w:rPr>
        <w:rStyle w:val="6"/>
        <w:rFonts w:hint="eastAsia" w:ascii="方正书宋_GBK" w:eastAsia="方正书宋_GBK"/>
        <w:sz w:val="28"/>
        <w:szCs w:val="28"/>
      </w:rPr>
      <w:fldChar w:fldCharType="separate"/>
    </w:r>
    <w:r>
      <w:rPr>
        <w:rStyle w:val="6"/>
        <w:rFonts w:ascii="方正书宋_GBK" w:eastAsia="方正书宋_GBK"/>
        <w:sz w:val="28"/>
        <w:szCs w:val="28"/>
      </w:rPr>
      <w:t>8</w:t>
    </w:r>
    <w:r>
      <w:rPr>
        <w:rStyle w:val="6"/>
        <w:rFonts w:hint="eastAsia" w:ascii="方正书宋_GBK" w:eastAsia="方正书宋_GBK"/>
        <w:sz w:val="28"/>
        <w:szCs w:val="28"/>
      </w:rPr>
      <w:fldChar w:fldCharType="end"/>
    </w:r>
    <w:r>
      <w:rPr>
        <w:rStyle w:val="6"/>
        <w:rFonts w:hint="eastAsia" w:ascii="方正书宋_GBK" w:eastAsia="方正书宋_GBK"/>
        <w:sz w:val="28"/>
        <w:szCs w:val="28"/>
      </w:rPr>
      <w:t xml:space="preserve"> —  </w:t>
    </w:r>
  </w:p>
  <w:p>
    <w:pPr>
      <w:pStyle w:val="2"/>
      <w:framePr w:wrap="around" w:vAnchor="margin" w:hAnchor="text" w:y="-173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465" w:h="1588" w:hRule="exact" w:wrap="around" w:vAnchor="text" w:hAnchor="page" w:x="1100" w:y="786"/>
      <w:jc w:val="center"/>
      <w:rPr>
        <w:rStyle w:val="6"/>
        <w:rFonts w:hint="eastAsia" w:ascii="方正书宋_GBK" w:eastAsia="方正书宋_GBK"/>
        <w:sz w:val="28"/>
        <w:szCs w:val="28"/>
      </w:rPr>
    </w:pPr>
    <w:r>
      <w:rPr>
        <w:rStyle w:val="6"/>
        <w:rFonts w:hint="eastAsia" w:ascii="方正书宋_GBK" w:eastAsia="方正书宋_GBK"/>
        <w:sz w:val="28"/>
        <w:szCs w:val="28"/>
      </w:rPr>
      <w:t xml:space="preserve">— </w:t>
    </w:r>
    <w:r>
      <w:rPr>
        <w:rStyle w:val="6"/>
        <w:rFonts w:hint="eastAsia" w:ascii="方正书宋_GBK" w:eastAsia="方正书宋_GBK"/>
        <w:sz w:val="28"/>
        <w:szCs w:val="28"/>
      </w:rPr>
      <w:fldChar w:fldCharType="begin"/>
    </w:r>
    <w:r>
      <w:rPr>
        <w:rStyle w:val="6"/>
        <w:rFonts w:hint="eastAsia" w:ascii="方正书宋_GBK" w:eastAsia="方正书宋_GBK"/>
        <w:sz w:val="28"/>
        <w:szCs w:val="28"/>
      </w:rPr>
      <w:instrText xml:space="preserve">PAGE  </w:instrText>
    </w:r>
    <w:r>
      <w:rPr>
        <w:rStyle w:val="6"/>
        <w:rFonts w:hint="eastAsia" w:ascii="方正书宋_GBK" w:eastAsia="方正书宋_GBK"/>
        <w:sz w:val="28"/>
        <w:szCs w:val="28"/>
      </w:rPr>
      <w:fldChar w:fldCharType="separate"/>
    </w:r>
    <w:r>
      <w:rPr>
        <w:rStyle w:val="6"/>
        <w:rFonts w:ascii="方正书宋_GBK" w:eastAsia="方正书宋_GBK"/>
        <w:sz w:val="28"/>
        <w:szCs w:val="28"/>
      </w:rPr>
      <w:t>102</w:t>
    </w:r>
    <w:r>
      <w:rPr>
        <w:rStyle w:val="6"/>
        <w:rFonts w:hint="eastAsia" w:ascii="方正书宋_GBK" w:eastAsia="方正书宋_GBK"/>
        <w:sz w:val="28"/>
        <w:szCs w:val="28"/>
      </w:rPr>
      <w:fldChar w:fldCharType="end"/>
    </w:r>
    <w:r>
      <w:rPr>
        <w:rStyle w:val="6"/>
        <w:rFonts w:hint="eastAsia" w:ascii="方正书宋_GBK" w:eastAsia="方正书宋_GBK"/>
        <w:sz w:val="28"/>
        <w:szCs w:val="28"/>
      </w:rPr>
      <w:t xml:space="preserve">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91"/>
    <w:rsid w:val="003D1756"/>
    <w:rsid w:val="004853F9"/>
    <w:rsid w:val="009E063C"/>
    <w:rsid w:val="00A03391"/>
    <w:rsid w:val="00DC50E0"/>
    <w:rsid w:val="00E81379"/>
    <w:rsid w:val="6B63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仿宋" w:hAnsi="仿宋" w:eastAsia="仿宋"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仿宋" w:hAnsi="仿宋" w:eastAsia="仿宋"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1860</Words>
  <Characters>10607</Characters>
  <Lines>88</Lines>
  <Paragraphs>24</Paragraphs>
  <TotalTime>0</TotalTime>
  <ScaleCrop>false</ScaleCrop>
  <LinksUpToDate>false</LinksUpToDate>
  <CharactersWithSpaces>12443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2021-08-25T02:18:00Z</dcterms:created>
  <dc:creator>hp-2</dc:creator>
  <cp:lastModifiedBy>blank</cp:lastModifiedBy>
  <dcterms:modified xsi:type="dcterms:W3CDTF">2021-09-13T06:13:13Z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