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0" w:lineRule="exact"/>
        <w:ind w:firstLine="640" w:firstLineChars="200"/>
        <w:rPr>
          <w:rFonts w:eastAsia="方正小标宋简体"/>
          <w:szCs w:val="32"/>
        </w:rPr>
      </w:pPr>
      <w:bookmarkStart w:id="215" w:name="_GoBack"/>
      <w:bookmarkEnd w:id="215"/>
    </w:p>
    <w:p>
      <w:pPr>
        <w:spacing w:line="590" w:lineRule="exact"/>
        <w:jc w:val="center"/>
        <w:rPr>
          <w:rFonts w:eastAsia="方正小标宋简体"/>
          <w:sz w:val="44"/>
          <w:szCs w:val="44"/>
        </w:rPr>
      </w:pPr>
      <w:r>
        <w:rPr>
          <w:rFonts w:eastAsia="方正小标宋简体"/>
          <w:sz w:val="44"/>
          <w:szCs w:val="44"/>
        </w:rPr>
        <w:t>浙江省质量强省标准强省品牌强省</w:t>
      </w:r>
    </w:p>
    <w:p>
      <w:pPr>
        <w:spacing w:before="120" w:beforeLines="50" w:line="590" w:lineRule="exact"/>
        <w:jc w:val="center"/>
        <w:rPr>
          <w:rFonts w:eastAsia="方正小标宋简体"/>
          <w:sz w:val="44"/>
          <w:szCs w:val="44"/>
        </w:rPr>
      </w:pPr>
      <w:r>
        <w:rPr>
          <w:rFonts w:eastAsia="方正小标宋简体"/>
          <w:sz w:val="44"/>
          <w:szCs w:val="44"/>
        </w:rPr>
        <w:t>建设“十四五”规划</w:t>
      </w:r>
    </w:p>
    <w:p>
      <w:pPr>
        <w:spacing w:line="590" w:lineRule="exact"/>
        <w:ind w:firstLine="640" w:firstLineChars="200"/>
        <w:rPr>
          <w:szCs w:val="32"/>
        </w:rPr>
      </w:pPr>
      <w:bookmarkStart w:id="0" w:name="_Toc55206862"/>
    </w:p>
    <w:p>
      <w:pPr>
        <w:spacing w:line="590" w:lineRule="exact"/>
        <w:ind w:firstLine="640" w:firstLineChars="200"/>
        <w:rPr>
          <w:rFonts w:eastAsia="宋体"/>
          <w:szCs w:val="32"/>
        </w:rPr>
      </w:pPr>
      <w:r>
        <w:rPr>
          <w:szCs w:val="32"/>
        </w:rPr>
        <w:t>深入推进质量强省、标准强省、品牌强省（以下简称“三强”）建设，是我省立足新发展阶段、贯彻新发展理念、构建新发展格局的关键举措。为更好地贯彻执行中央和省委省政府相关精神，依据《浙江省国民经济和社会发展第十四个五年规划和</w:t>
      </w:r>
      <w:r>
        <w:rPr>
          <w:rFonts w:hint="eastAsia" w:ascii="仿宋_GB2312"/>
          <w:szCs w:val="32"/>
        </w:rPr>
        <w:t>二○三</w:t>
      </w:r>
      <w:r>
        <w:rPr>
          <w:szCs w:val="32"/>
        </w:rPr>
        <w:t>五年远景目标纲要》，特制定本规划。规划期限为2021-2025年。</w:t>
      </w:r>
    </w:p>
    <w:bookmarkEnd w:id="0"/>
    <w:p>
      <w:pPr>
        <w:spacing w:line="590" w:lineRule="exact"/>
        <w:ind w:left="640"/>
        <w:outlineLvl w:val="0"/>
        <w:rPr>
          <w:rFonts w:eastAsia="黑体"/>
          <w:kern w:val="44"/>
          <w:szCs w:val="32"/>
        </w:rPr>
      </w:pPr>
      <w:bookmarkStart w:id="1" w:name="_Toc58874031"/>
      <w:bookmarkStart w:id="2" w:name="_Toc59012704"/>
      <w:bookmarkStart w:id="3" w:name="_Toc65063849"/>
      <w:bookmarkStart w:id="4" w:name="_Toc62751174"/>
      <w:bookmarkStart w:id="5" w:name="_Toc16023"/>
      <w:bookmarkStart w:id="6" w:name="_Toc62539214"/>
      <w:r>
        <w:rPr>
          <w:rFonts w:eastAsia="黑体"/>
          <w:kern w:val="44"/>
          <w:szCs w:val="32"/>
        </w:rPr>
        <w:t>一、现实基础和发展</w:t>
      </w:r>
      <w:bookmarkEnd w:id="1"/>
      <w:bookmarkEnd w:id="2"/>
      <w:r>
        <w:rPr>
          <w:rFonts w:eastAsia="黑体"/>
          <w:kern w:val="44"/>
          <w:szCs w:val="32"/>
        </w:rPr>
        <w:t>背景</w:t>
      </w:r>
      <w:bookmarkEnd w:id="3"/>
      <w:bookmarkEnd w:id="4"/>
      <w:bookmarkEnd w:id="5"/>
      <w:bookmarkEnd w:id="6"/>
    </w:p>
    <w:p>
      <w:pPr>
        <w:spacing w:line="590" w:lineRule="exact"/>
        <w:ind w:firstLine="640" w:firstLineChars="200"/>
        <w:outlineLvl w:val="1"/>
        <w:rPr>
          <w:rFonts w:eastAsia="楷体_GB2312"/>
          <w:bCs/>
          <w:szCs w:val="32"/>
        </w:rPr>
      </w:pPr>
      <w:bookmarkStart w:id="7" w:name="_Toc62751175"/>
      <w:bookmarkStart w:id="8" w:name="_Toc29688"/>
      <w:bookmarkStart w:id="9" w:name="_Toc28742"/>
      <w:bookmarkStart w:id="10" w:name="_Toc58874032"/>
      <w:bookmarkStart w:id="11" w:name="_Toc65063850"/>
      <w:bookmarkStart w:id="12" w:name="_Toc62539215"/>
      <w:r>
        <w:rPr>
          <w:rFonts w:eastAsia="楷体_GB2312"/>
          <w:bCs/>
          <w:szCs w:val="32"/>
        </w:rPr>
        <w:t>（一）现实基础</w:t>
      </w:r>
      <w:bookmarkEnd w:id="7"/>
      <w:bookmarkEnd w:id="8"/>
      <w:bookmarkEnd w:id="9"/>
      <w:bookmarkEnd w:id="10"/>
      <w:bookmarkEnd w:id="11"/>
      <w:bookmarkEnd w:id="12"/>
    </w:p>
    <w:p>
      <w:pPr>
        <w:spacing w:line="590" w:lineRule="exact"/>
        <w:ind w:firstLine="643" w:firstLineChars="200"/>
        <w:rPr>
          <w:szCs w:val="32"/>
        </w:rPr>
      </w:pPr>
      <w:r>
        <w:rPr>
          <w:b/>
          <w:szCs w:val="32"/>
        </w:rPr>
        <w:t>质量发展走在全国前列。</w:t>
      </w:r>
      <w:r>
        <w:rPr>
          <w:szCs w:val="32"/>
        </w:rPr>
        <w:t>深入实施“三强一制造”战略，持续开展质量提升行动，连续4年获得国家质量工作考核A级，稳居全国第一方阵，获得2021年“中国质量大会”承办权。全省7个设区市和12个县市获批创建全国质量强市示范城市，数量居全国第一。全省工程一次验收合格率100%，旅游、健康等领域服务质量满意度持续提升。环境质量明显改善，2020年设区城市空气质量优良天数比率达93.3%，地表水省控断面达到或优于Ⅲ类水质比例达到94.6%，县级以上集中式饮用水水源水质达标率为100%。</w:t>
      </w:r>
    </w:p>
    <w:p>
      <w:pPr>
        <w:spacing w:line="590" w:lineRule="exact"/>
        <w:ind w:firstLine="643" w:firstLineChars="200"/>
        <w:rPr>
          <w:szCs w:val="32"/>
        </w:rPr>
      </w:pPr>
      <w:r>
        <w:rPr>
          <w:b/>
          <w:szCs w:val="32"/>
        </w:rPr>
        <w:t>先进标准体系更加健全。</w:t>
      </w:r>
      <w:r>
        <w:rPr>
          <w:szCs w:val="32"/>
        </w:rPr>
        <w:t>高水平完成全国首个国家标准化综合改革试点，累计主导制定国际标准总数达到36项，制定发布“最多跑一次”改革地方标准12项、基本公共服务地方标准341项，实施节能环保领域地方标准88项、绿色设计地方标准8项、新型建筑工业化地方标准10项、“浙江制造”标准1979项。标准化技术组织建设持续推进，秘书处落户浙江的国际标技委/分标委3个、全国标技委/分标委43个，建立省级标技委72个。义乌市获批筹建我省首个国家技术标准创新基地，举办全球首个标准博览会。</w:t>
      </w:r>
    </w:p>
    <w:p>
      <w:pPr>
        <w:spacing w:line="590" w:lineRule="exact"/>
        <w:ind w:firstLine="643" w:firstLineChars="200"/>
        <w:rPr>
          <w:szCs w:val="32"/>
        </w:rPr>
      </w:pPr>
      <w:r>
        <w:rPr>
          <w:b/>
          <w:szCs w:val="32"/>
        </w:rPr>
        <w:t>品牌矩阵不断壮大。</w:t>
      </w:r>
      <w:r>
        <w:rPr>
          <w:szCs w:val="32"/>
        </w:rPr>
        <w:t>率先构建以“区域品牌、先进标准、市场认证、国际认同”为核心的“品字标”品牌建设体系。累计有1006家企业获得“品字标”浙江制造认证证书1671张，获得国际认证证书200张。商标质押登记数连续五年位居全国第一，商标品牌发展指数（2020）位列全国首位。拥有地理标志保护产品116个、地理标志商标253件、农产品地理标志89个，17个地理标志产品列入中欧地理标志互认互保产品清单。工程品牌不断创优，全省共获得“鲁班奖”工程49项、国家优质工程94项，评选“钱江杯”省级优质工程639项。</w:t>
      </w:r>
    </w:p>
    <w:p>
      <w:pPr>
        <w:spacing w:line="590" w:lineRule="exact"/>
        <w:ind w:firstLine="643" w:firstLineChars="200"/>
        <w:rPr>
          <w:szCs w:val="32"/>
        </w:rPr>
      </w:pPr>
      <w:r>
        <w:rPr>
          <w:b/>
          <w:szCs w:val="32"/>
        </w:rPr>
        <w:t>质量技术基础持续强化。</w:t>
      </w:r>
      <w:r>
        <w:rPr>
          <w:szCs w:val="32"/>
        </w:rPr>
        <w:t>全力推进认证认可、检验检测综合改革，高水平建设国家检验检测高技术服务业集聚区（浙江），拥有国家质检中心55家、国家产业计量测试中心3家，获批筹建国家计量科学数据中心浙江分中心，布局了104个质量基础设施“一站式”服务平台，为产业链、创新链提供有力支撑。全省共有各类检验检测机构2128家，涵盖产品质量、工程质量、环境监测、气象防雷、计量校准等多个领域，检验检测认证行业市场化、专业化、品牌化、国际化发展初见成效。</w:t>
      </w:r>
    </w:p>
    <w:p>
      <w:pPr>
        <w:spacing w:line="590" w:lineRule="exact"/>
        <w:ind w:firstLine="643" w:firstLineChars="200"/>
        <w:rPr>
          <w:szCs w:val="32"/>
        </w:rPr>
      </w:pPr>
      <w:r>
        <w:rPr>
          <w:b/>
          <w:szCs w:val="32"/>
        </w:rPr>
        <w:t>质量治理能力明显增强。</w:t>
      </w:r>
      <w:r>
        <w:rPr>
          <w:szCs w:val="32"/>
        </w:rPr>
        <w:t>全面推行“双随机、一公开”监管，针对不同信用风险、信用水平的检查对象采取差异化分类监管措施。深化检验检测服务“最多跑一次”改革，正式上线“浙里检”平台，实现检验检测业务全流程“一网通办”。修订实施《浙江省实施〈消费者权益保护法〉办法》，深化“放心消费在浙江”行动，国家电子商务12315投诉维权中心和网络商品质量监测中心落户杭州，消费环境和维权机制进一步优化。工程质量终身责任制三项制度覆盖率100%，工程质量投诉申述机制逐步完善。</w:t>
      </w:r>
    </w:p>
    <w:p>
      <w:pPr>
        <w:spacing w:line="590" w:lineRule="exact"/>
        <w:ind w:firstLine="640" w:firstLineChars="200"/>
        <w:rPr>
          <w:szCs w:val="32"/>
        </w:rPr>
      </w:pPr>
      <w:r>
        <w:rPr>
          <w:szCs w:val="32"/>
        </w:rPr>
        <w:t>“十三五”期间，“三强”建设取得突出成效，但还存在一些问题和不足：一是质量供给和人民对美好生活需求不相适应的情况仍较突出，优质产品和服务供给能力有待提升；二是在数字经济、生命健康、新材料等新兴领域的质量基础设施建设有待加快，支撑高质量发展的质量技术能级仍显不足；三是推动落实企业主体责任和消费者权益保护的机制尚不完善，质量文化建设有待加强，质量社会共治局面还未完全形成。立足新发展阶段，必须坚持新发展理念，聚焦高质量、竞争力、现代化，持续推进高水平“三强”建设。</w:t>
      </w:r>
    </w:p>
    <w:p>
      <w:pPr>
        <w:spacing w:before="240" w:beforeLines="100" w:after="240" w:afterLines="100" w:line="360" w:lineRule="exact"/>
        <w:jc w:val="center"/>
        <w:rPr>
          <w:rFonts w:eastAsia="黑体"/>
          <w:bCs/>
          <w:sz w:val="24"/>
        </w:rPr>
      </w:pPr>
    </w:p>
    <w:p>
      <w:pPr>
        <w:spacing w:before="240" w:beforeLines="100" w:after="240" w:afterLines="100" w:line="360" w:lineRule="exact"/>
        <w:jc w:val="center"/>
        <w:rPr>
          <w:rFonts w:eastAsia="黑体"/>
          <w:bCs/>
          <w:sz w:val="24"/>
        </w:rPr>
      </w:pPr>
    </w:p>
    <w:p>
      <w:pPr>
        <w:spacing w:before="240" w:beforeLines="100" w:after="240" w:afterLines="100" w:line="360" w:lineRule="exact"/>
        <w:jc w:val="center"/>
        <w:rPr>
          <w:rFonts w:eastAsia="黑体"/>
          <w:bCs/>
          <w:sz w:val="28"/>
        </w:rPr>
      </w:pPr>
      <w:r>
        <w:rPr>
          <w:rFonts w:eastAsia="黑体"/>
          <w:bCs/>
          <w:sz w:val="28"/>
        </w:rPr>
        <w:t>表1-1  “十三五”时期主要指标完成表</w:t>
      </w:r>
    </w:p>
    <w:tbl>
      <w:tblPr>
        <w:tblStyle w:val="2"/>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23"/>
        <w:gridCol w:w="4383"/>
        <w:gridCol w:w="775"/>
        <w:gridCol w:w="967"/>
        <w:gridCol w:w="981"/>
        <w:gridCol w:w="1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Align w:val="center"/>
          </w:tcPr>
          <w:p>
            <w:pPr>
              <w:jc w:val="center"/>
              <w:rPr>
                <w:rFonts w:eastAsia="黑体"/>
                <w:sz w:val="24"/>
              </w:rPr>
            </w:pPr>
            <w:r>
              <w:rPr>
                <w:rFonts w:hAnsi="黑体" w:eastAsia="黑体"/>
                <w:sz w:val="24"/>
              </w:rPr>
              <w:t>类别</w:t>
            </w:r>
          </w:p>
        </w:tc>
        <w:tc>
          <w:tcPr>
            <w:tcW w:w="4383" w:type="dxa"/>
            <w:vAlign w:val="center"/>
          </w:tcPr>
          <w:p>
            <w:pPr>
              <w:jc w:val="center"/>
              <w:rPr>
                <w:rFonts w:eastAsia="黑体"/>
                <w:sz w:val="24"/>
              </w:rPr>
            </w:pPr>
            <w:r>
              <w:rPr>
                <w:rFonts w:hAnsi="黑体" w:eastAsia="黑体"/>
                <w:sz w:val="24"/>
              </w:rPr>
              <w:t>指</w:t>
            </w:r>
            <w:r>
              <w:rPr>
                <w:rFonts w:eastAsia="黑体"/>
                <w:sz w:val="24"/>
              </w:rPr>
              <w:t xml:space="preserve">    </w:t>
            </w:r>
            <w:r>
              <w:rPr>
                <w:rFonts w:hAnsi="黑体" w:eastAsia="黑体"/>
                <w:sz w:val="24"/>
              </w:rPr>
              <w:t>标</w:t>
            </w:r>
          </w:p>
        </w:tc>
        <w:tc>
          <w:tcPr>
            <w:tcW w:w="775" w:type="dxa"/>
            <w:vAlign w:val="center"/>
          </w:tcPr>
          <w:p>
            <w:pPr>
              <w:jc w:val="center"/>
              <w:rPr>
                <w:rFonts w:eastAsia="黑体"/>
                <w:sz w:val="24"/>
              </w:rPr>
            </w:pPr>
            <w:r>
              <w:rPr>
                <w:rFonts w:hAnsi="黑体" w:eastAsia="黑体"/>
                <w:sz w:val="24"/>
              </w:rPr>
              <w:t>单位</w:t>
            </w:r>
          </w:p>
        </w:tc>
        <w:tc>
          <w:tcPr>
            <w:tcW w:w="967" w:type="dxa"/>
            <w:vAlign w:val="center"/>
          </w:tcPr>
          <w:p>
            <w:pPr>
              <w:jc w:val="center"/>
              <w:rPr>
                <w:rFonts w:eastAsia="黑体"/>
                <w:sz w:val="24"/>
              </w:rPr>
            </w:pPr>
            <w:r>
              <w:rPr>
                <w:rFonts w:eastAsia="黑体"/>
                <w:sz w:val="24"/>
              </w:rPr>
              <w:t>2015</w:t>
            </w:r>
            <w:r>
              <w:rPr>
                <w:rFonts w:hAnsi="黑体" w:eastAsia="黑体"/>
                <w:sz w:val="24"/>
              </w:rPr>
              <w:t>年</w:t>
            </w:r>
          </w:p>
        </w:tc>
        <w:tc>
          <w:tcPr>
            <w:tcW w:w="981" w:type="dxa"/>
            <w:vAlign w:val="center"/>
          </w:tcPr>
          <w:p>
            <w:pPr>
              <w:jc w:val="center"/>
              <w:rPr>
                <w:rFonts w:eastAsia="黑体"/>
                <w:sz w:val="24"/>
              </w:rPr>
            </w:pPr>
            <w:r>
              <w:rPr>
                <w:rFonts w:eastAsia="黑体"/>
                <w:sz w:val="24"/>
              </w:rPr>
              <w:t>2020</w:t>
            </w:r>
            <w:r>
              <w:rPr>
                <w:rFonts w:hAnsi="黑体" w:eastAsia="黑体"/>
                <w:sz w:val="24"/>
              </w:rPr>
              <w:t>年</w:t>
            </w:r>
          </w:p>
          <w:p>
            <w:pPr>
              <w:jc w:val="center"/>
              <w:rPr>
                <w:rFonts w:eastAsia="黑体"/>
                <w:sz w:val="24"/>
              </w:rPr>
            </w:pPr>
            <w:r>
              <w:rPr>
                <w:rFonts w:hAnsi="黑体" w:eastAsia="黑体"/>
                <w:sz w:val="24"/>
              </w:rPr>
              <w:t>规划</w:t>
            </w:r>
          </w:p>
        </w:tc>
        <w:tc>
          <w:tcPr>
            <w:tcW w:w="1016" w:type="dxa"/>
            <w:vAlign w:val="center"/>
          </w:tcPr>
          <w:p>
            <w:pPr>
              <w:jc w:val="center"/>
              <w:rPr>
                <w:rFonts w:eastAsia="黑体"/>
                <w:sz w:val="24"/>
              </w:rPr>
            </w:pPr>
            <w:r>
              <w:rPr>
                <w:rFonts w:eastAsia="黑体"/>
                <w:sz w:val="24"/>
              </w:rPr>
              <w:t>2020</w:t>
            </w:r>
            <w:r>
              <w:rPr>
                <w:rFonts w:hAnsi="黑体" w:eastAsia="黑体"/>
                <w:sz w:val="24"/>
              </w:rPr>
              <w:t>年</w:t>
            </w:r>
          </w:p>
          <w:p>
            <w:pPr>
              <w:jc w:val="center"/>
              <w:rPr>
                <w:rFonts w:eastAsia="黑体"/>
                <w:sz w:val="24"/>
              </w:rPr>
            </w:pPr>
            <w:r>
              <w:rPr>
                <w:rFonts w:hAnsi="黑体" w:eastAsia="黑体"/>
                <w:sz w:val="24"/>
              </w:rPr>
              <w:t>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restart"/>
            <w:vAlign w:val="center"/>
          </w:tcPr>
          <w:p>
            <w:pPr>
              <w:jc w:val="center"/>
              <w:rPr>
                <w:b/>
                <w:sz w:val="24"/>
              </w:rPr>
            </w:pPr>
            <w:r>
              <w:rPr>
                <w:b/>
                <w:sz w:val="24"/>
              </w:rPr>
              <w:t>质量建设</w:t>
            </w:r>
          </w:p>
        </w:tc>
        <w:tc>
          <w:tcPr>
            <w:tcW w:w="4383" w:type="dxa"/>
            <w:vAlign w:val="center"/>
          </w:tcPr>
          <w:p>
            <w:pPr>
              <w:rPr>
                <w:b/>
                <w:sz w:val="24"/>
              </w:rPr>
            </w:pPr>
            <w:r>
              <w:rPr>
                <w:sz w:val="24"/>
              </w:rPr>
              <w:t>农产品质量安全监测合格率</w:t>
            </w:r>
          </w:p>
        </w:tc>
        <w:tc>
          <w:tcPr>
            <w:tcW w:w="775" w:type="dxa"/>
            <w:vAlign w:val="center"/>
          </w:tcPr>
          <w:p>
            <w:pPr>
              <w:jc w:val="center"/>
              <w:rPr>
                <w:sz w:val="24"/>
              </w:rPr>
            </w:pPr>
            <w:r>
              <w:rPr>
                <w:sz w:val="24"/>
              </w:rPr>
              <w:t>%</w:t>
            </w:r>
          </w:p>
        </w:tc>
        <w:tc>
          <w:tcPr>
            <w:tcW w:w="967" w:type="dxa"/>
            <w:vAlign w:val="center"/>
          </w:tcPr>
          <w:p>
            <w:pPr>
              <w:jc w:val="center"/>
              <w:rPr>
                <w:b/>
                <w:sz w:val="24"/>
              </w:rPr>
            </w:pPr>
            <w:r>
              <w:rPr>
                <w:sz w:val="24"/>
              </w:rPr>
              <w:t>96</w:t>
            </w:r>
          </w:p>
        </w:tc>
        <w:tc>
          <w:tcPr>
            <w:tcW w:w="981" w:type="dxa"/>
            <w:vAlign w:val="center"/>
          </w:tcPr>
          <w:p>
            <w:pPr>
              <w:jc w:val="center"/>
              <w:rPr>
                <w:sz w:val="24"/>
              </w:rPr>
            </w:pPr>
            <w:r>
              <w:rPr>
                <w:sz w:val="24"/>
              </w:rPr>
              <w:t>98</w:t>
            </w:r>
          </w:p>
        </w:tc>
        <w:tc>
          <w:tcPr>
            <w:tcW w:w="1016" w:type="dxa"/>
            <w:vAlign w:val="center"/>
          </w:tcPr>
          <w:p>
            <w:pPr>
              <w:jc w:val="center"/>
              <w:rPr>
                <w:sz w:val="24"/>
              </w:rPr>
            </w:pPr>
            <w:r>
              <w:rPr>
                <w:sz w:val="24"/>
              </w:rPr>
              <w:t>98以上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规模以上工业新产品产值率</w:t>
            </w:r>
          </w:p>
        </w:tc>
        <w:tc>
          <w:tcPr>
            <w:tcW w:w="775" w:type="dxa"/>
            <w:vAlign w:val="center"/>
          </w:tcPr>
          <w:p>
            <w:pPr>
              <w:jc w:val="center"/>
              <w:rPr>
                <w:sz w:val="24"/>
              </w:rPr>
            </w:pPr>
            <w:r>
              <w:rPr>
                <w:sz w:val="24"/>
              </w:rPr>
              <w:t>%</w:t>
            </w:r>
          </w:p>
        </w:tc>
        <w:tc>
          <w:tcPr>
            <w:tcW w:w="967" w:type="dxa"/>
            <w:vAlign w:val="center"/>
          </w:tcPr>
          <w:p>
            <w:pPr>
              <w:jc w:val="center"/>
              <w:rPr>
                <w:sz w:val="24"/>
              </w:rPr>
            </w:pPr>
            <w:r>
              <w:rPr>
                <w:sz w:val="24"/>
              </w:rPr>
              <w:t>32</w:t>
            </w:r>
          </w:p>
        </w:tc>
        <w:tc>
          <w:tcPr>
            <w:tcW w:w="981" w:type="dxa"/>
            <w:vAlign w:val="center"/>
          </w:tcPr>
          <w:p>
            <w:pPr>
              <w:jc w:val="center"/>
              <w:rPr>
                <w:sz w:val="24"/>
              </w:rPr>
            </w:pPr>
            <w:r>
              <w:rPr>
                <w:sz w:val="24"/>
              </w:rPr>
              <w:t>35</w:t>
            </w:r>
          </w:p>
        </w:tc>
        <w:tc>
          <w:tcPr>
            <w:tcW w:w="1016" w:type="dxa"/>
            <w:vAlign w:val="center"/>
          </w:tcPr>
          <w:p>
            <w:pPr>
              <w:jc w:val="center"/>
              <w:rPr>
                <w:sz w:val="24"/>
              </w:rPr>
            </w:pPr>
            <w:r>
              <w:rPr>
                <w:sz w:val="24"/>
              </w:rPr>
              <w:t>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创建国家产品质量监督检验中心（新增）</w:t>
            </w:r>
          </w:p>
        </w:tc>
        <w:tc>
          <w:tcPr>
            <w:tcW w:w="775" w:type="dxa"/>
            <w:vAlign w:val="center"/>
          </w:tcPr>
          <w:p>
            <w:pPr>
              <w:jc w:val="center"/>
              <w:rPr>
                <w:sz w:val="24"/>
              </w:rPr>
            </w:pPr>
            <w:r>
              <w:rPr>
                <w:sz w:val="24"/>
              </w:rPr>
              <w:t>家</w:t>
            </w:r>
          </w:p>
        </w:tc>
        <w:tc>
          <w:tcPr>
            <w:tcW w:w="967" w:type="dxa"/>
            <w:vAlign w:val="center"/>
          </w:tcPr>
          <w:p>
            <w:pPr>
              <w:jc w:val="center"/>
              <w:rPr>
                <w:sz w:val="24"/>
              </w:rPr>
            </w:pPr>
            <w:r>
              <w:rPr>
                <w:sz w:val="24"/>
              </w:rPr>
              <w:t>4</w:t>
            </w:r>
          </w:p>
        </w:tc>
        <w:tc>
          <w:tcPr>
            <w:tcW w:w="981" w:type="dxa"/>
            <w:vAlign w:val="center"/>
          </w:tcPr>
          <w:p>
            <w:pPr>
              <w:jc w:val="center"/>
              <w:rPr>
                <w:sz w:val="24"/>
              </w:rPr>
            </w:pPr>
            <w:r>
              <w:rPr>
                <w:sz w:val="24"/>
              </w:rPr>
              <w:t>10</w:t>
            </w:r>
          </w:p>
        </w:tc>
        <w:tc>
          <w:tcPr>
            <w:tcW w:w="1016" w:type="dxa"/>
            <w:vAlign w:val="center"/>
          </w:tcPr>
          <w:p>
            <w:pPr>
              <w:jc w:val="center"/>
              <w:rPr>
                <w:sz w:val="24"/>
              </w:rPr>
            </w:pPr>
            <w:r>
              <w:rPr>
                <w:sz w:val="24"/>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工程质量终身责任制三项制度覆盖率</w:t>
            </w:r>
          </w:p>
        </w:tc>
        <w:tc>
          <w:tcPr>
            <w:tcW w:w="775" w:type="dxa"/>
            <w:vAlign w:val="center"/>
          </w:tcPr>
          <w:p>
            <w:pPr>
              <w:jc w:val="center"/>
              <w:rPr>
                <w:sz w:val="24"/>
              </w:rPr>
            </w:pPr>
            <w:r>
              <w:rPr>
                <w:sz w:val="24"/>
              </w:rPr>
              <w:t>%</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100</w:t>
            </w:r>
          </w:p>
        </w:tc>
        <w:tc>
          <w:tcPr>
            <w:tcW w:w="1016" w:type="dxa"/>
            <w:vAlign w:val="center"/>
          </w:tcPr>
          <w:p>
            <w:pPr>
              <w:jc w:val="center"/>
              <w:rPr>
                <w:sz w:val="24"/>
              </w:rPr>
            </w:pPr>
            <w:r>
              <w:rPr>
                <w:sz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服务质量满意度</w:t>
            </w:r>
          </w:p>
        </w:tc>
        <w:tc>
          <w:tcPr>
            <w:tcW w:w="775" w:type="dxa"/>
            <w:vAlign w:val="center"/>
          </w:tcPr>
          <w:p>
            <w:pPr>
              <w:jc w:val="center"/>
              <w:rPr>
                <w:sz w:val="24"/>
              </w:rPr>
            </w:pPr>
          </w:p>
        </w:tc>
        <w:tc>
          <w:tcPr>
            <w:tcW w:w="967" w:type="dxa"/>
            <w:vAlign w:val="center"/>
          </w:tcPr>
          <w:p>
            <w:pPr>
              <w:jc w:val="center"/>
              <w:rPr>
                <w:sz w:val="24"/>
              </w:rPr>
            </w:pPr>
            <w:r>
              <w:rPr>
                <w:sz w:val="24"/>
              </w:rPr>
              <w:t>79</w:t>
            </w:r>
          </w:p>
        </w:tc>
        <w:tc>
          <w:tcPr>
            <w:tcW w:w="981" w:type="dxa"/>
            <w:vAlign w:val="center"/>
          </w:tcPr>
          <w:p>
            <w:pPr>
              <w:jc w:val="center"/>
              <w:rPr>
                <w:sz w:val="24"/>
              </w:rPr>
            </w:pPr>
            <w:r>
              <w:rPr>
                <w:sz w:val="24"/>
              </w:rPr>
              <w:t>85</w:t>
            </w:r>
          </w:p>
        </w:tc>
        <w:tc>
          <w:tcPr>
            <w:tcW w:w="1016" w:type="dxa"/>
            <w:vAlign w:val="center"/>
          </w:tcPr>
          <w:p>
            <w:pPr>
              <w:jc w:val="center"/>
              <w:rPr>
                <w:sz w:val="24"/>
              </w:rPr>
            </w:pPr>
            <w:r>
              <w:rPr>
                <w:sz w:val="24"/>
              </w:rPr>
              <w:t>87.13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设区城市空气质量优良天数比率</w:t>
            </w:r>
          </w:p>
        </w:tc>
        <w:tc>
          <w:tcPr>
            <w:tcW w:w="775" w:type="dxa"/>
            <w:vAlign w:val="center"/>
          </w:tcPr>
          <w:p>
            <w:pPr>
              <w:jc w:val="center"/>
              <w:rPr>
                <w:sz w:val="24"/>
              </w:rPr>
            </w:pPr>
            <w:r>
              <w:rPr>
                <w:sz w:val="24"/>
              </w:rPr>
              <w:t>%</w:t>
            </w:r>
          </w:p>
        </w:tc>
        <w:tc>
          <w:tcPr>
            <w:tcW w:w="967" w:type="dxa"/>
            <w:vAlign w:val="center"/>
          </w:tcPr>
          <w:p>
            <w:pPr>
              <w:jc w:val="center"/>
              <w:rPr>
                <w:sz w:val="24"/>
              </w:rPr>
            </w:pPr>
            <w:r>
              <w:rPr>
                <w:sz w:val="24"/>
              </w:rPr>
              <w:t>83.8</w:t>
            </w:r>
          </w:p>
        </w:tc>
        <w:tc>
          <w:tcPr>
            <w:tcW w:w="981" w:type="dxa"/>
            <w:vAlign w:val="center"/>
          </w:tcPr>
          <w:p>
            <w:pPr>
              <w:jc w:val="center"/>
              <w:rPr>
                <w:sz w:val="24"/>
              </w:rPr>
            </w:pPr>
            <w:r>
              <w:rPr>
                <w:sz w:val="24"/>
              </w:rPr>
              <w:t>85.6</w:t>
            </w:r>
          </w:p>
        </w:tc>
        <w:tc>
          <w:tcPr>
            <w:tcW w:w="1016" w:type="dxa"/>
            <w:vAlign w:val="center"/>
          </w:tcPr>
          <w:p>
            <w:pPr>
              <w:jc w:val="center"/>
              <w:rPr>
                <w:sz w:val="24"/>
              </w:rPr>
            </w:pPr>
            <w:r>
              <w:rPr>
                <w:sz w:val="24"/>
              </w:rPr>
              <w:t>93.3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地表水省控断面达到或优于Ⅲ类水质比例</w:t>
            </w:r>
          </w:p>
        </w:tc>
        <w:tc>
          <w:tcPr>
            <w:tcW w:w="775" w:type="dxa"/>
            <w:vAlign w:val="center"/>
          </w:tcPr>
          <w:p>
            <w:pPr>
              <w:jc w:val="center"/>
              <w:rPr>
                <w:sz w:val="24"/>
              </w:rPr>
            </w:pPr>
            <w:r>
              <w:rPr>
                <w:sz w:val="24"/>
              </w:rPr>
              <w:t>%</w:t>
            </w:r>
          </w:p>
        </w:tc>
        <w:tc>
          <w:tcPr>
            <w:tcW w:w="967" w:type="dxa"/>
            <w:vAlign w:val="center"/>
          </w:tcPr>
          <w:p>
            <w:pPr>
              <w:jc w:val="center"/>
              <w:rPr>
                <w:sz w:val="24"/>
              </w:rPr>
            </w:pPr>
            <w:r>
              <w:rPr>
                <w:sz w:val="24"/>
              </w:rPr>
              <w:t>72.9</w:t>
            </w:r>
          </w:p>
        </w:tc>
        <w:tc>
          <w:tcPr>
            <w:tcW w:w="981" w:type="dxa"/>
            <w:vAlign w:val="center"/>
          </w:tcPr>
          <w:p>
            <w:pPr>
              <w:jc w:val="center"/>
              <w:rPr>
                <w:sz w:val="24"/>
              </w:rPr>
            </w:pPr>
            <w:r>
              <w:rPr>
                <w:sz w:val="24"/>
              </w:rPr>
              <w:t>80</w:t>
            </w:r>
          </w:p>
        </w:tc>
        <w:tc>
          <w:tcPr>
            <w:tcW w:w="1016" w:type="dxa"/>
            <w:vAlign w:val="center"/>
          </w:tcPr>
          <w:p>
            <w:pPr>
              <w:jc w:val="center"/>
              <w:rPr>
                <w:sz w:val="24"/>
              </w:rPr>
            </w:pPr>
            <w:r>
              <w:rPr>
                <w:sz w:val="24"/>
              </w:rPr>
              <w:t>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县级以上集中式饮用水水源水质达标率</w:t>
            </w:r>
          </w:p>
        </w:tc>
        <w:tc>
          <w:tcPr>
            <w:tcW w:w="775" w:type="dxa"/>
            <w:vAlign w:val="center"/>
          </w:tcPr>
          <w:p>
            <w:pPr>
              <w:jc w:val="center"/>
              <w:rPr>
                <w:sz w:val="24"/>
              </w:rPr>
            </w:pPr>
            <w:r>
              <w:rPr>
                <w:sz w:val="24"/>
              </w:rPr>
              <w:t>%</w:t>
            </w:r>
          </w:p>
        </w:tc>
        <w:tc>
          <w:tcPr>
            <w:tcW w:w="967" w:type="dxa"/>
            <w:vAlign w:val="center"/>
          </w:tcPr>
          <w:p>
            <w:pPr>
              <w:jc w:val="center"/>
              <w:rPr>
                <w:sz w:val="24"/>
              </w:rPr>
            </w:pPr>
            <w:r>
              <w:rPr>
                <w:sz w:val="24"/>
              </w:rPr>
              <w:t>85.1</w:t>
            </w:r>
          </w:p>
        </w:tc>
        <w:tc>
          <w:tcPr>
            <w:tcW w:w="981" w:type="dxa"/>
            <w:vAlign w:val="center"/>
          </w:tcPr>
          <w:p>
            <w:pPr>
              <w:jc w:val="center"/>
              <w:rPr>
                <w:sz w:val="24"/>
              </w:rPr>
            </w:pPr>
            <w:r>
              <w:rPr>
                <w:sz w:val="24"/>
              </w:rPr>
              <w:t>94</w:t>
            </w:r>
          </w:p>
        </w:tc>
        <w:tc>
          <w:tcPr>
            <w:tcW w:w="1016" w:type="dxa"/>
            <w:vAlign w:val="center"/>
          </w:tcPr>
          <w:p>
            <w:pPr>
              <w:jc w:val="center"/>
              <w:rPr>
                <w:sz w:val="24"/>
              </w:rPr>
            </w:pPr>
            <w:r>
              <w:rPr>
                <w:sz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restart"/>
            <w:vAlign w:val="center"/>
          </w:tcPr>
          <w:p>
            <w:pPr>
              <w:jc w:val="center"/>
              <w:rPr>
                <w:b/>
                <w:sz w:val="24"/>
              </w:rPr>
            </w:pPr>
            <w:r>
              <w:rPr>
                <w:b/>
                <w:sz w:val="24"/>
              </w:rPr>
              <w:t>标准</w:t>
            </w:r>
          </w:p>
          <w:p>
            <w:pPr>
              <w:jc w:val="center"/>
              <w:rPr>
                <w:b/>
                <w:sz w:val="24"/>
              </w:rPr>
            </w:pPr>
            <w:r>
              <w:rPr>
                <w:b/>
                <w:sz w:val="24"/>
              </w:rPr>
              <w:t>建设</w:t>
            </w:r>
          </w:p>
        </w:tc>
        <w:tc>
          <w:tcPr>
            <w:tcW w:w="4383" w:type="dxa"/>
            <w:vAlign w:val="center"/>
          </w:tcPr>
          <w:p>
            <w:pPr>
              <w:rPr>
                <w:sz w:val="24"/>
              </w:rPr>
            </w:pPr>
            <w:r>
              <w:rPr>
                <w:sz w:val="24"/>
              </w:rPr>
              <w:t>制定“浙江制造”标准（新增）</w:t>
            </w:r>
          </w:p>
        </w:tc>
        <w:tc>
          <w:tcPr>
            <w:tcW w:w="775" w:type="dxa"/>
            <w:vAlign w:val="center"/>
          </w:tcPr>
          <w:p>
            <w:pPr>
              <w:jc w:val="center"/>
              <w:rPr>
                <w:sz w:val="24"/>
              </w:rPr>
            </w:pPr>
            <w:r>
              <w:rPr>
                <w:sz w:val="24"/>
              </w:rPr>
              <w:t>项</w:t>
            </w:r>
          </w:p>
        </w:tc>
        <w:tc>
          <w:tcPr>
            <w:tcW w:w="967" w:type="dxa"/>
            <w:vAlign w:val="center"/>
          </w:tcPr>
          <w:p>
            <w:pPr>
              <w:jc w:val="center"/>
              <w:rPr>
                <w:sz w:val="24"/>
              </w:rPr>
            </w:pPr>
            <w:r>
              <w:rPr>
                <w:sz w:val="24"/>
              </w:rPr>
              <w:t>44</w:t>
            </w:r>
          </w:p>
        </w:tc>
        <w:tc>
          <w:tcPr>
            <w:tcW w:w="981" w:type="dxa"/>
            <w:vAlign w:val="center"/>
          </w:tcPr>
          <w:p>
            <w:pPr>
              <w:jc w:val="center"/>
              <w:rPr>
                <w:sz w:val="24"/>
              </w:rPr>
            </w:pPr>
            <w:r>
              <w:rPr>
                <w:sz w:val="24"/>
              </w:rPr>
              <w:t>500</w:t>
            </w:r>
          </w:p>
        </w:tc>
        <w:tc>
          <w:tcPr>
            <w:tcW w:w="1016" w:type="dxa"/>
            <w:vAlign w:val="center"/>
          </w:tcPr>
          <w:p>
            <w:pPr>
              <w:jc w:val="center"/>
              <w:rPr>
                <w:sz w:val="24"/>
              </w:rPr>
            </w:pPr>
            <w:r>
              <w:rPr>
                <w:sz w:val="24"/>
              </w:rPr>
              <w:t>1935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实施“浙江制造”标准企业（累计）</w:t>
            </w:r>
          </w:p>
        </w:tc>
        <w:tc>
          <w:tcPr>
            <w:tcW w:w="775" w:type="dxa"/>
            <w:vAlign w:val="center"/>
          </w:tcPr>
          <w:p>
            <w:pPr>
              <w:jc w:val="center"/>
              <w:rPr>
                <w:sz w:val="24"/>
              </w:rPr>
            </w:pPr>
            <w:r>
              <w:rPr>
                <w:sz w:val="24"/>
              </w:rPr>
              <w:t>家</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5000</w:t>
            </w:r>
          </w:p>
        </w:tc>
        <w:tc>
          <w:tcPr>
            <w:tcW w:w="1016" w:type="dxa"/>
            <w:vAlign w:val="center"/>
          </w:tcPr>
          <w:p>
            <w:pPr>
              <w:jc w:val="center"/>
              <w:rPr>
                <w:sz w:val="24"/>
              </w:rPr>
            </w:pPr>
            <w:r>
              <w:rPr>
                <w:sz w:val="24"/>
              </w:rPr>
              <w:t>5721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主导和参与制修订国际标准（新增）</w:t>
            </w:r>
          </w:p>
        </w:tc>
        <w:tc>
          <w:tcPr>
            <w:tcW w:w="775" w:type="dxa"/>
            <w:vAlign w:val="center"/>
          </w:tcPr>
          <w:p>
            <w:pPr>
              <w:jc w:val="center"/>
              <w:rPr>
                <w:sz w:val="24"/>
              </w:rPr>
            </w:pPr>
            <w:r>
              <w:rPr>
                <w:sz w:val="24"/>
              </w:rPr>
              <w:t>项</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15</w:t>
            </w:r>
          </w:p>
        </w:tc>
        <w:tc>
          <w:tcPr>
            <w:tcW w:w="1016" w:type="dxa"/>
            <w:vAlign w:val="center"/>
          </w:tcPr>
          <w:p>
            <w:pPr>
              <w:jc w:val="center"/>
              <w:rPr>
                <w:sz w:val="24"/>
              </w:rPr>
            </w:pPr>
            <w:r>
              <w:rPr>
                <w:sz w:val="24"/>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主导制修订国家标准（新增）</w:t>
            </w:r>
          </w:p>
        </w:tc>
        <w:tc>
          <w:tcPr>
            <w:tcW w:w="775" w:type="dxa"/>
            <w:vAlign w:val="center"/>
          </w:tcPr>
          <w:p>
            <w:pPr>
              <w:jc w:val="center"/>
              <w:rPr>
                <w:sz w:val="24"/>
              </w:rPr>
            </w:pPr>
            <w:r>
              <w:rPr>
                <w:sz w:val="24"/>
              </w:rPr>
              <w:t>项</w:t>
            </w:r>
          </w:p>
        </w:tc>
        <w:tc>
          <w:tcPr>
            <w:tcW w:w="967" w:type="dxa"/>
            <w:vAlign w:val="center"/>
          </w:tcPr>
          <w:p>
            <w:pPr>
              <w:jc w:val="center"/>
              <w:rPr>
                <w:sz w:val="24"/>
              </w:rPr>
            </w:pPr>
            <w:r>
              <w:rPr>
                <w:sz w:val="24"/>
              </w:rPr>
              <w:t>89</w:t>
            </w:r>
          </w:p>
        </w:tc>
        <w:tc>
          <w:tcPr>
            <w:tcW w:w="981" w:type="dxa"/>
            <w:vAlign w:val="center"/>
          </w:tcPr>
          <w:p>
            <w:pPr>
              <w:jc w:val="center"/>
              <w:rPr>
                <w:sz w:val="24"/>
              </w:rPr>
            </w:pPr>
            <w:r>
              <w:rPr>
                <w:sz w:val="24"/>
              </w:rPr>
              <w:t>300</w:t>
            </w:r>
          </w:p>
        </w:tc>
        <w:tc>
          <w:tcPr>
            <w:tcW w:w="1016" w:type="dxa"/>
            <w:vAlign w:val="center"/>
          </w:tcPr>
          <w:p>
            <w:pPr>
              <w:jc w:val="center"/>
              <w:rPr>
                <w:sz w:val="24"/>
              </w:rPr>
            </w:pPr>
            <w:r>
              <w:rPr>
                <w:sz w:val="24"/>
              </w:rPr>
              <w:t>838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制修订服务业地方标准（新增）</w:t>
            </w:r>
          </w:p>
        </w:tc>
        <w:tc>
          <w:tcPr>
            <w:tcW w:w="775" w:type="dxa"/>
            <w:vAlign w:val="center"/>
          </w:tcPr>
          <w:p>
            <w:pPr>
              <w:jc w:val="center"/>
              <w:rPr>
                <w:sz w:val="24"/>
              </w:rPr>
            </w:pPr>
            <w:r>
              <w:rPr>
                <w:sz w:val="24"/>
              </w:rPr>
              <w:t>项</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100</w:t>
            </w:r>
          </w:p>
        </w:tc>
        <w:tc>
          <w:tcPr>
            <w:tcW w:w="1016" w:type="dxa"/>
            <w:vAlign w:val="center"/>
          </w:tcPr>
          <w:p>
            <w:pPr>
              <w:jc w:val="center"/>
              <w:rPr>
                <w:sz w:val="24"/>
              </w:rPr>
            </w:pPr>
            <w:r>
              <w:rPr>
                <w:sz w:val="24"/>
              </w:rPr>
              <w:t>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制定绿色建筑设计地方标准（新增）</w:t>
            </w:r>
          </w:p>
        </w:tc>
        <w:tc>
          <w:tcPr>
            <w:tcW w:w="775" w:type="dxa"/>
            <w:vAlign w:val="center"/>
          </w:tcPr>
          <w:p>
            <w:pPr>
              <w:jc w:val="center"/>
              <w:rPr>
                <w:sz w:val="24"/>
              </w:rPr>
            </w:pPr>
            <w:r>
              <w:rPr>
                <w:sz w:val="24"/>
              </w:rPr>
              <w:t>项</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8</w:t>
            </w:r>
          </w:p>
        </w:tc>
        <w:tc>
          <w:tcPr>
            <w:tcW w:w="1016" w:type="dxa"/>
            <w:vAlign w:val="center"/>
          </w:tcPr>
          <w:p>
            <w:pPr>
              <w:jc w:val="center"/>
              <w:rPr>
                <w:sz w:val="24"/>
              </w:rPr>
            </w:pPr>
            <w:r>
              <w:rPr>
                <w:sz w:val="24"/>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制定新型建筑工业化地方标准（新增）</w:t>
            </w:r>
          </w:p>
        </w:tc>
        <w:tc>
          <w:tcPr>
            <w:tcW w:w="775" w:type="dxa"/>
            <w:vAlign w:val="center"/>
          </w:tcPr>
          <w:p>
            <w:pPr>
              <w:jc w:val="center"/>
              <w:rPr>
                <w:sz w:val="24"/>
              </w:rPr>
            </w:pPr>
            <w:r>
              <w:rPr>
                <w:sz w:val="24"/>
              </w:rPr>
              <w:t>项</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10</w:t>
            </w:r>
          </w:p>
        </w:tc>
        <w:tc>
          <w:tcPr>
            <w:tcW w:w="1016" w:type="dxa"/>
            <w:vAlign w:val="center"/>
          </w:tcPr>
          <w:p>
            <w:pPr>
              <w:jc w:val="center"/>
              <w:rPr>
                <w:sz w:val="24"/>
              </w:rPr>
            </w:pPr>
            <w:r>
              <w:rPr>
                <w:sz w:val="24"/>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restart"/>
            <w:vAlign w:val="center"/>
          </w:tcPr>
          <w:p>
            <w:pPr>
              <w:jc w:val="center"/>
              <w:rPr>
                <w:b/>
                <w:sz w:val="24"/>
              </w:rPr>
            </w:pPr>
            <w:r>
              <w:rPr>
                <w:b/>
                <w:sz w:val="24"/>
              </w:rPr>
              <w:t>品牌</w:t>
            </w:r>
          </w:p>
          <w:p>
            <w:pPr>
              <w:jc w:val="center"/>
              <w:rPr>
                <w:b/>
                <w:sz w:val="24"/>
              </w:rPr>
            </w:pPr>
            <w:r>
              <w:rPr>
                <w:b/>
                <w:sz w:val="24"/>
              </w:rPr>
              <w:t>建设</w:t>
            </w:r>
          </w:p>
        </w:tc>
        <w:tc>
          <w:tcPr>
            <w:tcW w:w="4383" w:type="dxa"/>
            <w:vAlign w:val="center"/>
          </w:tcPr>
          <w:p>
            <w:pPr>
              <w:rPr>
                <w:sz w:val="24"/>
              </w:rPr>
            </w:pPr>
            <w:r>
              <w:rPr>
                <w:sz w:val="24"/>
              </w:rPr>
              <w:t>浙江省政府质量奖企业（新增）</w:t>
            </w:r>
          </w:p>
        </w:tc>
        <w:tc>
          <w:tcPr>
            <w:tcW w:w="775" w:type="dxa"/>
            <w:vAlign w:val="center"/>
          </w:tcPr>
          <w:p>
            <w:pPr>
              <w:jc w:val="center"/>
              <w:rPr>
                <w:sz w:val="24"/>
              </w:rPr>
            </w:pPr>
            <w:r>
              <w:rPr>
                <w:sz w:val="24"/>
              </w:rPr>
              <w:t>家</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20</w:t>
            </w:r>
          </w:p>
        </w:tc>
        <w:tc>
          <w:tcPr>
            <w:tcW w:w="1016" w:type="dxa"/>
            <w:vAlign w:val="center"/>
          </w:tcPr>
          <w:p>
            <w:pPr>
              <w:jc w:val="center"/>
              <w:rPr>
                <w:sz w:val="24"/>
              </w:rPr>
            </w:pPr>
            <w:r>
              <w:rPr>
                <w:sz w:val="24"/>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“浙江制造”品牌培育企业（新增）</w:t>
            </w:r>
          </w:p>
        </w:tc>
        <w:tc>
          <w:tcPr>
            <w:tcW w:w="775" w:type="dxa"/>
            <w:vAlign w:val="center"/>
          </w:tcPr>
          <w:p>
            <w:pPr>
              <w:jc w:val="center"/>
              <w:rPr>
                <w:sz w:val="24"/>
              </w:rPr>
            </w:pPr>
            <w:r>
              <w:rPr>
                <w:sz w:val="24"/>
              </w:rPr>
              <w:t>家</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1500</w:t>
            </w:r>
          </w:p>
        </w:tc>
        <w:tc>
          <w:tcPr>
            <w:tcW w:w="1016" w:type="dxa"/>
            <w:vAlign w:val="center"/>
          </w:tcPr>
          <w:p>
            <w:pPr>
              <w:jc w:val="center"/>
              <w:rPr>
                <w:sz w:val="24"/>
              </w:rPr>
            </w:pPr>
            <w:r>
              <w:rPr>
                <w:sz w:val="24"/>
              </w:rPr>
              <w:t>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“浙江制造”品牌认证企业（新增）</w:t>
            </w:r>
          </w:p>
        </w:tc>
        <w:tc>
          <w:tcPr>
            <w:tcW w:w="775" w:type="dxa"/>
            <w:vAlign w:val="center"/>
          </w:tcPr>
          <w:p>
            <w:pPr>
              <w:jc w:val="center"/>
              <w:rPr>
                <w:sz w:val="24"/>
              </w:rPr>
            </w:pPr>
            <w:r>
              <w:rPr>
                <w:sz w:val="24"/>
              </w:rPr>
              <w:t>家</w:t>
            </w:r>
          </w:p>
        </w:tc>
        <w:tc>
          <w:tcPr>
            <w:tcW w:w="967" w:type="dxa"/>
            <w:vAlign w:val="center"/>
          </w:tcPr>
          <w:p>
            <w:pPr>
              <w:jc w:val="center"/>
              <w:rPr>
                <w:sz w:val="24"/>
              </w:rPr>
            </w:pPr>
            <w:r>
              <w:rPr>
                <w:sz w:val="24"/>
              </w:rPr>
              <w:t>22</w:t>
            </w:r>
          </w:p>
        </w:tc>
        <w:tc>
          <w:tcPr>
            <w:tcW w:w="981" w:type="dxa"/>
            <w:vAlign w:val="center"/>
          </w:tcPr>
          <w:p>
            <w:pPr>
              <w:jc w:val="center"/>
              <w:rPr>
                <w:sz w:val="24"/>
              </w:rPr>
            </w:pPr>
            <w:r>
              <w:rPr>
                <w:sz w:val="24"/>
              </w:rPr>
              <w:t>300</w:t>
            </w:r>
          </w:p>
        </w:tc>
        <w:tc>
          <w:tcPr>
            <w:tcW w:w="1016" w:type="dxa"/>
            <w:vAlign w:val="center"/>
          </w:tcPr>
          <w:p>
            <w:pPr>
              <w:jc w:val="center"/>
              <w:rPr>
                <w:sz w:val="24"/>
              </w:rPr>
            </w:pPr>
            <w:r>
              <w:rPr>
                <w:sz w:val="24"/>
              </w:rPr>
              <w:t>980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新型建筑工业化示范企业（新增）</w:t>
            </w:r>
          </w:p>
        </w:tc>
        <w:tc>
          <w:tcPr>
            <w:tcW w:w="775" w:type="dxa"/>
            <w:vAlign w:val="center"/>
          </w:tcPr>
          <w:p>
            <w:pPr>
              <w:jc w:val="center"/>
              <w:rPr>
                <w:sz w:val="24"/>
              </w:rPr>
            </w:pPr>
            <w:r>
              <w:rPr>
                <w:sz w:val="24"/>
              </w:rPr>
              <w:t>家</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20</w:t>
            </w:r>
          </w:p>
        </w:tc>
        <w:tc>
          <w:tcPr>
            <w:tcW w:w="1016" w:type="dxa"/>
            <w:vAlign w:val="center"/>
          </w:tcPr>
          <w:p>
            <w:pPr>
              <w:jc w:val="center"/>
              <w:rPr>
                <w:sz w:val="24"/>
              </w:rPr>
            </w:pPr>
            <w:r>
              <w:rPr>
                <w:sz w:val="24"/>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23" w:type="dxa"/>
            <w:vMerge w:val="continue"/>
            <w:vAlign w:val="center"/>
          </w:tcPr>
          <w:p>
            <w:pPr>
              <w:jc w:val="center"/>
              <w:rPr>
                <w:b/>
                <w:sz w:val="24"/>
              </w:rPr>
            </w:pPr>
          </w:p>
        </w:tc>
        <w:tc>
          <w:tcPr>
            <w:tcW w:w="4383" w:type="dxa"/>
            <w:vAlign w:val="center"/>
          </w:tcPr>
          <w:p>
            <w:pPr>
              <w:rPr>
                <w:sz w:val="24"/>
              </w:rPr>
            </w:pPr>
            <w:r>
              <w:rPr>
                <w:sz w:val="24"/>
              </w:rPr>
              <w:t>培育驰名商标（新增）</w:t>
            </w:r>
          </w:p>
        </w:tc>
        <w:tc>
          <w:tcPr>
            <w:tcW w:w="775" w:type="dxa"/>
            <w:vAlign w:val="center"/>
          </w:tcPr>
          <w:p>
            <w:pPr>
              <w:jc w:val="center"/>
              <w:rPr>
                <w:sz w:val="24"/>
              </w:rPr>
            </w:pPr>
            <w:r>
              <w:rPr>
                <w:sz w:val="24"/>
              </w:rPr>
              <w:t>个</w:t>
            </w:r>
          </w:p>
        </w:tc>
        <w:tc>
          <w:tcPr>
            <w:tcW w:w="967" w:type="dxa"/>
            <w:vAlign w:val="center"/>
          </w:tcPr>
          <w:p>
            <w:pPr>
              <w:jc w:val="center"/>
              <w:rPr>
                <w:sz w:val="24"/>
              </w:rPr>
            </w:pPr>
            <w:r>
              <w:rPr>
                <w:sz w:val="24"/>
              </w:rPr>
              <w:t>-</w:t>
            </w:r>
          </w:p>
        </w:tc>
        <w:tc>
          <w:tcPr>
            <w:tcW w:w="981" w:type="dxa"/>
            <w:vAlign w:val="center"/>
          </w:tcPr>
          <w:p>
            <w:pPr>
              <w:jc w:val="center"/>
              <w:rPr>
                <w:sz w:val="24"/>
              </w:rPr>
            </w:pPr>
            <w:r>
              <w:rPr>
                <w:sz w:val="24"/>
              </w:rPr>
              <w:t>50</w:t>
            </w:r>
          </w:p>
        </w:tc>
        <w:tc>
          <w:tcPr>
            <w:tcW w:w="1016" w:type="dxa"/>
            <w:vAlign w:val="center"/>
          </w:tcPr>
          <w:p>
            <w:pPr>
              <w:jc w:val="center"/>
              <w:rPr>
                <w:sz w:val="24"/>
              </w:rPr>
            </w:pPr>
            <w:r>
              <w:rPr>
                <w:sz w:val="24"/>
              </w:rPr>
              <w:t>88</w:t>
            </w:r>
          </w:p>
        </w:tc>
      </w:tr>
    </w:tbl>
    <w:p>
      <w:pPr>
        <w:spacing w:line="590" w:lineRule="exact"/>
        <w:ind w:firstLine="640" w:firstLineChars="200"/>
        <w:outlineLvl w:val="1"/>
        <w:rPr>
          <w:rFonts w:eastAsia="楷体_GB2312"/>
          <w:bCs/>
          <w:szCs w:val="32"/>
        </w:rPr>
      </w:pPr>
      <w:bookmarkStart w:id="13" w:name="_Toc62751176"/>
      <w:bookmarkStart w:id="14" w:name="_Toc62539217"/>
      <w:bookmarkStart w:id="15" w:name="_Toc9062"/>
      <w:bookmarkStart w:id="16" w:name="_Toc65063851"/>
      <w:r>
        <w:rPr>
          <w:rFonts w:eastAsia="楷体_GB2312"/>
          <w:bCs/>
          <w:szCs w:val="32"/>
        </w:rPr>
        <w:t>（二）发展背景</w:t>
      </w:r>
      <w:bookmarkEnd w:id="13"/>
      <w:bookmarkEnd w:id="14"/>
      <w:bookmarkEnd w:id="15"/>
      <w:bookmarkEnd w:id="16"/>
    </w:p>
    <w:p>
      <w:pPr>
        <w:spacing w:line="590" w:lineRule="exact"/>
        <w:ind w:firstLine="643" w:firstLineChars="200"/>
        <w:rPr>
          <w:bCs/>
          <w:szCs w:val="32"/>
        </w:rPr>
      </w:pPr>
      <w:r>
        <w:rPr>
          <w:b/>
          <w:szCs w:val="32"/>
        </w:rPr>
        <w:t>构建新发展格局对质量、标准、品牌建设提出更高要求。</w:t>
      </w:r>
      <w:r>
        <w:rPr>
          <w:bCs/>
          <w:szCs w:val="32"/>
        </w:rPr>
        <w:t>在质量效益明显提升的基础上实现经济持续健康发展，要求加快建设高标准市场体系，形成高效规范、公平竞争、质量安全、消费满意的强大国内市场，在此基础上持续深化对外开放，拓展国际市场，构建国内国际双循环相互促进的新发展格局。因此，必须把深化质量提升作为高质量发展的重要基点，为浙江建设国内大循环战略支点、国内国际双循环战略枢纽提供有力保障。</w:t>
      </w:r>
    </w:p>
    <w:p>
      <w:pPr>
        <w:spacing w:line="590" w:lineRule="exact"/>
        <w:ind w:firstLine="643" w:firstLineChars="200"/>
        <w:rPr>
          <w:szCs w:val="32"/>
        </w:rPr>
      </w:pPr>
      <w:r>
        <w:rPr>
          <w:b/>
          <w:szCs w:val="32"/>
        </w:rPr>
        <w:t>满足人民日益增长的美好生活需要必须坚定不移地走质量引领的发展之路。</w:t>
      </w:r>
      <w:r>
        <w:rPr>
          <w:szCs w:val="32"/>
        </w:rPr>
        <w:t>我国进入新发展阶段，经济长期向好的基本面没有改变，人民对优质产品和服务的需求增加，需要高质量产品和服务的供给。因此，必须</w:t>
      </w:r>
      <w:r>
        <w:rPr>
          <w:bCs/>
          <w:szCs w:val="32"/>
        </w:rPr>
        <w:t>坚持扩大内需这个战略基点，以更高水平需求牵引供给、以更高质量供给创造需求，满足消费者对质量标准品牌日益增长的新要求。</w:t>
      </w:r>
    </w:p>
    <w:p>
      <w:pPr>
        <w:spacing w:line="590" w:lineRule="exact"/>
        <w:ind w:firstLine="643" w:firstLineChars="200"/>
        <w:rPr>
          <w:szCs w:val="32"/>
        </w:rPr>
      </w:pPr>
      <w:r>
        <w:rPr>
          <w:b/>
          <w:szCs w:val="32"/>
        </w:rPr>
        <w:t>“重要窗口”的新目标新定位要求大力推动质量变革、标准创新、品牌创建。</w:t>
      </w:r>
      <w:r>
        <w:rPr>
          <w:bCs/>
          <w:szCs w:val="32"/>
        </w:rPr>
        <w:t>“十四五”时期，是我省忠实践行“八八战略”、奋力打造“重要窗口”，争创社会主义现代化先行省的关键五年。因此，要率先建设面向全国、融入全球的现代化经济体系，塑造新时期浙江竞争优势，必须坚持质量第一，以品牌的力量激发新的增长动力，以高质量供给创造更多市场需求，以标准提档、品牌增效融入和引领价值链重塑，推动全省加快迈入质量时代。</w:t>
      </w:r>
    </w:p>
    <w:p>
      <w:pPr>
        <w:spacing w:line="590" w:lineRule="exact"/>
        <w:ind w:firstLine="640" w:firstLineChars="200"/>
        <w:outlineLvl w:val="0"/>
        <w:rPr>
          <w:rFonts w:eastAsia="黑体"/>
          <w:kern w:val="44"/>
          <w:szCs w:val="32"/>
        </w:rPr>
      </w:pPr>
      <w:bookmarkStart w:id="17" w:name="_Toc12826"/>
      <w:bookmarkStart w:id="18" w:name="_Toc62751177"/>
      <w:bookmarkStart w:id="19" w:name="_Toc65063852"/>
      <w:bookmarkStart w:id="20" w:name="_Toc30320"/>
      <w:bookmarkStart w:id="21" w:name="_Toc58874034"/>
      <w:bookmarkStart w:id="22" w:name="_Toc59012705"/>
      <w:bookmarkStart w:id="23" w:name="_Toc62539218"/>
      <w:r>
        <w:rPr>
          <w:rFonts w:eastAsia="黑体"/>
          <w:kern w:val="44"/>
          <w:szCs w:val="32"/>
        </w:rPr>
        <w:t>二、</w:t>
      </w:r>
      <w:bookmarkEnd w:id="17"/>
      <w:r>
        <w:rPr>
          <w:rFonts w:eastAsia="黑体"/>
          <w:kern w:val="44"/>
          <w:szCs w:val="32"/>
        </w:rPr>
        <w:t>总体思路和发展目标</w:t>
      </w:r>
      <w:bookmarkEnd w:id="18"/>
      <w:bookmarkEnd w:id="19"/>
      <w:bookmarkEnd w:id="20"/>
      <w:bookmarkEnd w:id="21"/>
      <w:bookmarkEnd w:id="22"/>
      <w:bookmarkEnd w:id="23"/>
    </w:p>
    <w:p>
      <w:pPr>
        <w:spacing w:line="590" w:lineRule="exact"/>
        <w:ind w:firstLine="640" w:firstLineChars="200"/>
        <w:outlineLvl w:val="1"/>
        <w:rPr>
          <w:rFonts w:eastAsia="楷体_GB2312"/>
          <w:bCs/>
          <w:szCs w:val="32"/>
        </w:rPr>
      </w:pPr>
      <w:bookmarkStart w:id="24" w:name="_Toc10562"/>
      <w:bookmarkStart w:id="25" w:name="_Toc62751178"/>
      <w:bookmarkStart w:id="26" w:name="_Toc65063853"/>
      <w:bookmarkStart w:id="27" w:name="_Toc58874035"/>
      <w:bookmarkStart w:id="28" w:name="_Toc13034"/>
      <w:bookmarkStart w:id="29" w:name="_Toc62539219"/>
      <w:r>
        <w:rPr>
          <w:rFonts w:eastAsia="楷体_GB2312"/>
          <w:bCs/>
          <w:szCs w:val="32"/>
        </w:rPr>
        <w:t>（一）指导思想</w:t>
      </w:r>
      <w:bookmarkEnd w:id="24"/>
      <w:bookmarkEnd w:id="25"/>
      <w:bookmarkEnd w:id="26"/>
      <w:bookmarkEnd w:id="27"/>
      <w:bookmarkEnd w:id="28"/>
      <w:bookmarkEnd w:id="29"/>
    </w:p>
    <w:p>
      <w:pPr>
        <w:spacing w:line="590" w:lineRule="exact"/>
        <w:ind w:firstLine="640" w:firstLineChars="200"/>
        <w:rPr>
          <w:szCs w:val="32"/>
        </w:rPr>
      </w:pPr>
      <w:r>
        <w:rPr>
          <w:szCs w:val="32"/>
        </w:rPr>
        <w:t>坚持以习近平新时代中国特色社会主义思想为指导，深入贯彻党的十九大和十九届二中、三中、四中、五中全会以及省委十四届八次全会精神，坚决落实习近平总书记关于“质量第一”“质量强国”等重要指示精神，忠实践行“八八战略”，奋力打造“重要窗口”，科学把握新发展阶段，坚持贯彻新发展理念，服务构建新发展格局，以推动高质量发展为主题，以深化供给侧结构性改革为主线，持续推进质量变革、效率变革、动力变革，聚焦聚力“三位一体”全面融合、“四大领域”全域提升、“三大体系”全程保障，率先实现质量治理体系和治理能力现代化，努力把质量强省、标准强省、品牌强省建设打造成“重要窗口”标志性成果，为我省争创社会主义现代化先行省贡献力量。</w:t>
      </w:r>
    </w:p>
    <w:p>
      <w:pPr>
        <w:spacing w:line="590" w:lineRule="exact"/>
        <w:ind w:firstLine="643" w:firstLineChars="200"/>
        <w:rPr>
          <w:szCs w:val="32"/>
        </w:rPr>
      </w:pPr>
      <w:r>
        <w:rPr>
          <w:b/>
          <w:bCs/>
          <w:szCs w:val="32"/>
        </w:rPr>
        <w:t>——“三位一体”全面融合。</w:t>
      </w:r>
      <w:r>
        <w:rPr>
          <w:szCs w:val="32"/>
        </w:rPr>
        <w:t>更加注重系统观念、系统方法推进质量、标准、品牌融合发展，以领先标准引领质量提升，以更高质量要求打造知名品牌。立足新发展格局，从生产、分配、流通、消费各环节入手，形成以高质量供给创造需求、以高品质需求牵引供给的更高水平动态平衡，提升国民经济体系整体效能。</w:t>
      </w:r>
    </w:p>
    <w:p>
      <w:pPr>
        <w:spacing w:line="590" w:lineRule="exact"/>
        <w:ind w:firstLine="643" w:firstLineChars="200"/>
        <w:rPr>
          <w:bCs/>
          <w:szCs w:val="32"/>
        </w:rPr>
      </w:pPr>
      <w:r>
        <w:rPr>
          <w:b/>
          <w:bCs/>
          <w:szCs w:val="32"/>
        </w:rPr>
        <w:t>——“四大领域”全域提升。</w:t>
      </w:r>
      <w:r>
        <w:rPr>
          <w:bCs/>
          <w:szCs w:val="32"/>
        </w:rPr>
        <w:t>更加注重“三强”建设的整体性和协调性，统筹浙江制造、浙江服务、浙江工程、浙江环境四大关键领域，推动“浙江制造”迈向全球高端，打造“浙江服务”发展高地，铸就“浙江工程”卓越品质，树立“浙江环境”最美标杆，实现“四大领域”全方位高质量发展。</w:t>
      </w:r>
    </w:p>
    <w:p>
      <w:pPr>
        <w:spacing w:line="590" w:lineRule="exact"/>
        <w:ind w:firstLine="643" w:firstLineChars="200"/>
        <w:rPr>
          <w:bCs/>
          <w:szCs w:val="32"/>
        </w:rPr>
      </w:pPr>
      <w:r>
        <w:rPr>
          <w:b/>
          <w:bCs/>
          <w:szCs w:val="32"/>
        </w:rPr>
        <w:t>——“三大体系”全程保障。</w:t>
      </w:r>
      <w:r>
        <w:rPr>
          <w:bCs/>
          <w:szCs w:val="32"/>
        </w:rPr>
        <w:t>更加注重“三强”建设的体系化和协同性，以质量基础设施建设促进质量能力提升，以最严要求坚守质量安全底线，以社会共治推进质量现代化治理，统筹推进质量基础、质量安全、质量治理三大体系建设，为“三强”建设提供全过程坚强支撑。</w:t>
      </w:r>
    </w:p>
    <w:p>
      <w:pPr>
        <w:spacing w:line="590" w:lineRule="exact"/>
        <w:ind w:firstLine="640" w:firstLineChars="200"/>
        <w:outlineLvl w:val="1"/>
        <w:rPr>
          <w:rFonts w:eastAsia="楷体_GB2312"/>
          <w:bCs/>
          <w:szCs w:val="32"/>
        </w:rPr>
      </w:pPr>
      <w:bookmarkStart w:id="30" w:name="_Toc65063854"/>
      <w:bookmarkStart w:id="31" w:name="_Toc58874036"/>
      <w:bookmarkStart w:id="32" w:name="_Toc31083"/>
      <w:bookmarkStart w:id="33" w:name="_Toc62751179"/>
      <w:bookmarkStart w:id="34" w:name="_Toc62539220"/>
      <w:r>
        <w:rPr>
          <w:rFonts w:eastAsia="楷体_GB2312"/>
          <w:bCs/>
          <w:szCs w:val="32"/>
        </w:rPr>
        <w:t>（二）基本原则</w:t>
      </w:r>
      <w:bookmarkEnd w:id="30"/>
      <w:bookmarkEnd w:id="31"/>
      <w:bookmarkEnd w:id="32"/>
      <w:bookmarkEnd w:id="33"/>
      <w:bookmarkEnd w:id="34"/>
    </w:p>
    <w:p>
      <w:pPr>
        <w:spacing w:line="590" w:lineRule="exact"/>
        <w:ind w:firstLine="643" w:firstLineChars="200"/>
        <w:rPr>
          <w:szCs w:val="32"/>
        </w:rPr>
      </w:pPr>
      <w:r>
        <w:rPr>
          <w:b/>
          <w:szCs w:val="32"/>
        </w:rPr>
        <w:t>市场主导，政府引导。</w:t>
      </w:r>
      <w:r>
        <w:rPr>
          <w:szCs w:val="32"/>
        </w:rPr>
        <w:t>以市场需求为导向，发挥市场在资源配置中的决定性作用，强化企业质量主体地位，激发企业提升质量、标准和品牌的内生动力。更好发挥政府引导作用，加强顶层设计和统筹管理，强化社会监督，形成协同推进新局面。</w:t>
      </w:r>
    </w:p>
    <w:p>
      <w:pPr>
        <w:spacing w:line="590" w:lineRule="exact"/>
        <w:ind w:firstLine="643" w:firstLineChars="200"/>
        <w:rPr>
          <w:szCs w:val="32"/>
        </w:rPr>
      </w:pPr>
      <w:r>
        <w:rPr>
          <w:b/>
          <w:szCs w:val="32"/>
        </w:rPr>
        <w:t>系统推进，融合发展。</w:t>
      </w:r>
      <w:r>
        <w:rPr>
          <w:bCs/>
          <w:szCs w:val="32"/>
        </w:rPr>
        <w:t>全局性谋划质量、标准、品牌三位一体发展机制，</w:t>
      </w:r>
      <w:r>
        <w:rPr>
          <w:szCs w:val="32"/>
        </w:rPr>
        <w:t>以更高标准引领高质量，以更高质量要求打造一批市场竞争力强、产品附加值高的知名品牌，</w:t>
      </w:r>
      <w:r>
        <w:rPr>
          <w:bCs/>
          <w:szCs w:val="32"/>
        </w:rPr>
        <w:t>系统性推进“四大领域”协同提升，</w:t>
      </w:r>
      <w:r>
        <w:rPr>
          <w:szCs w:val="32"/>
        </w:rPr>
        <w:t>构建系统集成、协同高效的质量现代化治理体系。</w:t>
      </w:r>
    </w:p>
    <w:p>
      <w:pPr>
        <w:spacing w:line="590" w:lineRule="exact"/>
        <w:ind w:firstLine="643" w:firstLineChars="200"/>
        <w:rPr>
          <w:bCs/>
          <w:szCs w:val="32"/>
        </w:rPr>
      </w:pPr>
      <w:r>
        <w:rPr>
          <w:b/>
          <w:szCs w:val="32"/>
        </w:rPr>
        <w:t>创新驱动，质量致胜。</w:t>
      </w:r>
      <w:r>
        <w:rPr>
          <w:szCs w:val="32"/>
        </w:rPr>
        <w:t>把创新放在发展全局的核心位置，以全方位数字化转型为路径，推动技术创新、标准研制和产业化协调发展。</w:t>
      </w:r>
      <w:r>
        <w:rPr>
          <w:bCs/>
          <w:szCs w:val="32"/>
        </w:rPr>
        <w:t>牢固树立“质量第一”的理念，提升高品质、高水平产品和服务的供给能力，以高质量供给引领和创造新需求，全面提高经济质量效益和核心竞争力。</w:t>
      </w:r>
    </w:p>
    <w:p>
      <w:pPr>
        <w:spacing w:line="590" w:lineRule="exact"/>
        <w:ind w:firstLine="643" w:firstLineChars="200"/>
        <w:rPr>
          <w:szCs w:val="32"/>
        </w:rPr>
      </w:pPr>
      <w:r>
        <w:rPr>
          <w:b/>
          <w:bCs/>
          <w:szCs w:val="32"/>
        </w:rPr>
        <w:t>标准引领，品牌带动。</w:t>
      </w:r>
      <w:r>
        <w:rPr>
          <w:bCs/>
          <w:szCs w:val="32"/>
        </w:rPr>
        <w:t>全面实施标准化战略，建设</w:t>
      </w:r>
      <w:r>
        <w:rPr>
          <w:szCs w:val="32"/>
        </w:rPr>
        <w:t>高水平的浙江标准体系，推动浙江标准转化为国家标准、国际标准，努力提升浙江标准话语权。大力培育企业自主品牌、产业集群品牌、区域公共品牌，不断提升浙江品牌国际影响力和美誉度。</w:t>
      </w:r>
    </w:p>
    <w:p>
      <w:pPr>
        <w:spacing w:line="590" w:lineRule="exact"/>
        <w:ind w:firstLine="640" w:firstLineChars="200"/>
        <w:outlineLvl w:val="1"/>
        <w:rPr>
          <w:rFonts w:eastAsia="楷体_GB2312"/>
          <w:bCs/>
          <w:szCs w:val="32"/>
        </w:rPr>
      </w:pPr>
      <w:bookmarkStart w:id="35" w:name="_Toc18883"/>
      <w:bookmarkStart w:id="36" w:name="_Toc65063855"/>
      <w:bookmarkStart w:id="37" w:name="_Toc58874037"/>
      <w:bookmarkStart w:id="38" w:name="_Toc62751180"/>
      <w:bookmarkStart w:id="39" w:name="_Toc62539221"/>
      <w:r>
        <w:rPr>
          <w:rFonts w:eastAsia="楷体_GB2312"/>
          <w:bCs/>
          <w:szCs w:val="32"/>
        </w:rPr>
        <w:t>（三）发展目标</w:t>
      </w:r>
      <w:bookmarkEnd w:id="35"/>
      <w:bookmarkEnd w:id="36"/>
      <w:bookmarkEnd w:id="37"/>
      <w:bookmarkEnd w:id="38"/>
      <w:bookmarkEnd w:id="39"/>
    </w:p>
    <w:p>
      <w:pPr>
        <w:spacing w:line="590" w:lineRule="exact"/>
        <w:ind w:firstLine="643" w:firstLineChars="200"/>
        <w:rPr>
          <w:b/>
          <w:bCs/>
          <w:szCs w:val="32"/>
        </w:rPr>
      </w:pPr>
      <w:r>
        <w:rPr>
          <w:b/>
          <w:bCs/>
          <w:szCs w:val="32"/>
        </w:rPr>
        <w:t>1.</w:t>
      </w:r>
      <w:r>
        <w:rPr>
          <w:rFonts w:hint="eastAsia"/>
          <w:b/>
          <w:bCs/>
          <w:szCs w:val="32"/>
        </w:rPr>
        <w:t xml:space="preserve"> </w:t>
      </w:r>
      <w:r>
        <w:rPr>
          <w:b/>
          <w:bCs/>
          <w:szCs w:val="32"/>
        </w:rPr>
        <w:t>“十四五”时期主要目标</w:t>
      </w:r>
    </w:p>
    <w:p>
      <w:pPr>
        <w:spacing w:line="590" w:lineRule="exact"/>
        <w:ind w:firstLine="640" w:firstLineChars="200"/>
        <w:rPr>
          <w:szCs w:val="32"/>
        </w:rPr>
      </w:pPr>
      <w:r>
        <w:rPr>
          <w:szCs w:val="32"/>
        </w:rPr>
        <w:t>到2025年，多层次、高水平的地方特色标准体系不断健全，高水平产品、技术、管理和服务的品牌形象牢固树立，浙江制造、浙江服务、浙江工程、浙江环境“四大领域”质量全面跃升，“三强”建设成为“重要窗口”标志性成果。</w:t>
      </w:r>
    </w:p>
    <w:p>
      <w:pPr>
        <w:shd w:val="clear" w:color="auto" w:fill="FFFFFF"/>
        <w:spacing w:line="590" w:lineRule="exact"/>
        <w:ind w:firstLine="643" w:firstLineChars="200"/>
        <w:rPr>
          <w:szCs w:val="32"/>
        </w:rPr>
      </w:pPr>
      <w:r>
        <w:rPr>
          <w:rFonts w:eastAsia="楷体"/>
          <w:b/>
          <w:bCs/>
          <w:szCs w:val="32"/>
        </w:rPr>
        <w:t>——</w:t>
      </w:r>
      <w:r>
        <w:rPr>
          <w:b/>
          <w:bCs/>
          <w:szCs w:val="32"/>
        </w:rPr>
        <w:t>成为</w:t>
      </w:r>
      <w:r>
        <w:rPr>
          <w:b/>
          <w:szCs w:val="32"/>
        </w:rPr>
        <w:t>质量强国建设生动鲜活的浙江样板。</w:t>
      </w:r>
      <w:r>
        <w:rPr>
          <w:szCs w:val="32"/>
        </w:rPr>
        <w:t>质量发展基础进一步夯实，质量安全保障能力进一步提升，“四大领域”质量总体达到国内领先水平，形成3-5个全球先进制造业集群，出口商品国际质量竞争力显著增强，基本实现浙江制造向浙江创造转变、浙江速度向浙江质量转变、浙江产品向浙江品牌转变。</w:t>
      </w:r>
    </w:p>
    <w:p>
      <w:pPr>
        <w:spacing w:line="590" w:lineRule="exact"/>
        <w:ind w:firstLine="643" w:firstLineChars="200"/>
        <w:rPr>
          <w:szCs w:val="32"/>
        </w:rPr>
      </w:pPr>
      <w:r>
        <w:rPr>
          <w:rFonts w:eastAsia="楷体"/>
          <w:b/>
          <w:bCs/>
          <w:szCs w:val="32"/>
        </w:rPr>
        <w:t>——</w:t>
      </w:r>
      <w:bookmarkStart w:id="40" w:name="_Hlk58442365"/>
      <w:r>
        <w:rPr>
          <w:b/>
          <w:bCs/>
          <w:szCs w:val="32"/>
        </w:rPr>
        <w:t>成为先进标准引领高质量发展的国家示范</w:t>
      </w:r>
      <w:r>
        <w:rPr>
          <w:b/>
          <w:szCs w:val="32"/>
        </w:rPr>
        <w:t>。</w:t>
      </w:r>
      <w:bookmarkEnd w:id="40"/>
      <w:r>
        <w:rPr>
          <w:szCs w:val="32"/>
        </w:rPr>
        <w:t>市场主体标准创新能力进一步提升，</w:t>
      </w:r>
      <w:r>
        <w:rPr>
          <w:bCs/>
          <w:szCs w:val="32"/>
        </w:rPr>
        <w:t>浙江标准体系更加健全，</w:t>
      </w:r>
      <w:r>
        <w:rPr>
          <w:szCs w:val="32"/>
        </w:rPr>
        <w:t>先进标准在各领域的覆盖面和国际标准规则制订的话语权明显提升，</w:t>
      </w:r>
      <w:r>
        <w:rPr>
          <w:bCs/>
          <w:szCs w:val="32"/>
        </w:rPr>
        <w:t>率先推进</w:t>
      </w:r>
      <w:r>
        <w:rPr>
          <w:szCs w:val="32"/>
        </w:rPr>
        <w:t>数字经济、生态环境、质量治理等领域标准创新，努力打造先进标准创新示范区。主导和参与制修订50项国际标准、600项国家标准；新增“浙江制造”标准2000项、服务业地方标准200项。</w:t>
      </w:r>
    </w:p>
    <w:p>
      <w:pPr>
        <w:spacing w:line="590" w:lineRule="exact"/>
        <w:ind w:firstLine="643" w:firstLineChars="200"/>
        <w:rPr>
          <w:szCs w:val="32"/>
        </w:rPr>
      </w:pPr>
      <w:r>
        <w:rPr>
          <w:rFonts w:eastAsia="仿宋"/>
          <w:b/>
          <w:bCs/>
          <w:szCs w:val="32"/>
        </w:rPr>
        <w:t>——</w:t>
      </w:r>
      <w:r>
        <w:rPr>
          <w:b/>
          <w:bCs/>
          <w:szCs w:val="32"/>
        </w:rPr>
        <w:t>成为具有国际影响力的品牌经济发展高地。</w:t>
      </w:r>
      <w:r>
        <w:rPr>
          <w:rFonts w:eastAsia="仿宋"/>
          <w:szCs w:val="32"/>
        </w:rPr>
        <w:t>进一步</w:t>
      </w:r>
      <w:r>
        <w:rPr>
          <w:szCs w:val="32"/>
        </w:rPr>
        <w:t>完善品牌培育机制，构建品牌产品、品牌企业、品牌产业、区域公共品牌培育体系，加快形成一批具有国际影响力的知名品牌，进一步提升“品字标”区域公共品牌的影响力和附加值，推动浙江产品和产业向价值链高端跃升。累计培育“浙江制造精品”2500项、单项冠军企业230家、“品字标”品牌企业2500家，建成一批全国质量品牌提升示范区。</w:t>
      </w:r>
    </w:p>
    <w:p>
      <w:pPr>
        <w:spacing w:line="590" w:lineRule="exact"/>
        <w:ind w:firstLine="643" w:firstLineChars="200"/>
        <w:rPr>
          <w:szCs w:val="32"/>
        </w:rPr>
      </w:pPr>
      <w:r>
        <w:rPr>
          <w:rFonts w:eastAsia="仿宋"/>
          <w:b/>
          <w:bCs/>
          <w:szCs w:val="32"/>
        </w:rPr>
        <w:t>——</w:t>
      </w:r>
      <w:bookmarkStart w:id="41" w:name="_Hlk58442373"/>
      <w:r>
        <w:rPr>
          <w:b/>
          <w:bCs/>
          <w:szCs w:val="32"/>
        </w:rPr>
        <w:t>成为质量治理现代化的领航探路者。</w:t>
      </w:r>
      <w:bookmarkEnd w:id="41"/>
      <w:r>
        <w:rPr>
          <w:szCs w:val="32"/>
        </w:rPr>
        <w:t>计量、标准、检验检测、认证认可等质量基础设施系统完整、高效运行，技术水平和服务能力进一步增强。质量安全监管体系更加健全，质量治理数字化应用范围不断拓展，数字化质量治理体系初步建成，基本形成市场主体自治、行业自律、社会监督、政府监管的质量共治格局。</w:t>
      </w:r>
    </w:p>
    <w:p>
      <w:pPr>
        <w:spacing w:before="240" w:beforeLines="100" w:after="240" w:afterLines="100" w:line="360" w:lineRule="exact"/>
        <w:jc w:val="center"/>
        <w:rPr>
          <w:rFonts w:eastAsia="黑体"/>
          <w:bCs/>
          <w:sz w:val="28"/>
        </w:rPr>
      </w:pPr>
      <w:r>
        <w:rPr>
          <w:rFonts w:eastAsia="黑体"/>
          <w:bCs/>
          <w:sz w:val="28"/>
        </w:rPr>
        <w:t xml:space="preserve">表2-1 </w:t>
      </w:r>
      <w:r>
        <w:rPr>
          <w:rFonts w:hint="eastAsia" w:eastAsia="黑体"/>
          <w:bCs/>
          <w:sz w:val="28"/>
        </w:rPr>
        <w:t xml:space="preserve"> </w:t>
      </w:r>
      <w:r>
        <w:rPr>
          <w:rFonts w:eastAsia="黑体"/>
          <w:bCs/>
          <w:sz w:val="28"/>
        </w:rPr>
        <w:t>质量强省、标准强省、品牌强省“十四五”规划主要指标</w:t>
      </w:r>
    </w:p>
    <w:tbl>
      <w:tblPr>
        <w:tblStyle w:val="2"/>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74"/>
        <w:gridCol w:w="5093"/>
        <w:gridCol w:w="920"/>
        <w:gridCol w:w="1095"/>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tblHeader/>
          <w:jc w:val="center"/>
        </w:trPr>
        <w:tc>
          <w:tcPr>
            <w:tcW w:w="674" w:type="dxa"/>
            <w:vAlign w:val="center"/>
          </w:tcPr>
          <w:p>
            <w:pPr>
              <w:jc w:val="center"/>
              <w:rPr>
                <w:rFonts w:eastAsia="黑体"/>
                <w:bCs/>
                <w:kern w:val="0"/>
                <w:sz w:val="24"/>
              </w:rPr>
            </w:pPr>
            <w:r>
              <w:rPr>
                <w:rFonts w:eastAsia="黑体"/>
                <w:bCs/>
                <w:kern w:val="0"/>
                <w:sz w:val="24"/>
              </w:rPr>
              <w:t>类别</w:t>
            </w:r>
          </w:p>
        </w:tc>
        <w:tc>
          <w:tcPr>
            <w:tcW w:w="5093" w:type="dxa"/>
            <w:vAlign w:val="center"/>
          </w:tcPr>
          <w:p>
            <w:pPr>
              <w:jc w:val="center"/>
              <w:rPr>
                <w:rFonts w:eastAsia="黑体"/>
                <w:bCs/>
                <w:kern w:val="0"/>
                <w:sz w:val="24"/>
              </w:rPr>
            </w:pPr>
            <w:r>
              <w:rPr>
                <w:rFonts w:eastAsia="黑体"/>
                <w:bCs/>
                <w:kern w:val="0"/>
                <w:sz w:val="24"/>
              </w:rPr>
              <w:t>指</w:t>
            </w:r>
            <w:r>
              <w:rPr>
                <w:rFonts w:hint="eastAsia" w:eastAsia="黑体"/>
                <w:bCs/>
                <w:kern w:val="0"/>
                <w:sz w:val="24"/>
              </w:rPr>
              <w:t xml:space="preserve">    </w:t>
            </w:r>
            <w:r>
              <w:rPr>
                <w:rFonts w:eastAsia="黑体"/>
                <w:bCs/>
                <w:kern w:val="0"/>
                <w:sz w:val="24"/>
              </w:rPr>
              <w:t>标</w:t>
            </w:r>
          </w:p>
        </w:tc>
        <w:tc>
          <w:tcPr>
            <w:tcW w:w="920" w:type="dxa"/>
            <w:vAlign w:val="center"/>
          </w:tcPr>
          <w:p>
            <w:pPr>
              <w:jc w:val="center"/>
              <w:rPr>
                <w:rFonts w:eastAsia="黑体"/>
                <w:bCs/>
                <w:kern w:val="0"/>
                <w:sz w:val="24"/>
              </w:rPr>
            </w:pPr>
            <w:r>
              <w:rPr>
                <w:rFonts w:eastAsia="黑体"/>
                <w:bCs/>
                <w:kern w:val="0"/>
                <w:sz w:val="24"/>
              </w:rPr>
              <w:t>单位</w:t>
            </w:r>
          </w:p>
        </w:tc>
        <w:tc>
          <w:tcPr>
            <w:tcW w:w="1095" w:type="dxa"/>
            <w:vAlign w:val="center"/>
          </w:tcPr>
          <w:p>
            <w:pPr>
              <w:jc w:val="center"/>
              <w:rPr>
                <w:rFonts w:eastAsia="黑体"/>
                <w:bCs/>
                <w:kern w:val="0"/>
                <w:sz w:val="24"/>
              </w:rPr>
            </w:pPr>
            <w:r>
              <w:rPr>
                <w:rFonts w:eastAsia="黑体"/>
                <w:bCs/>
                <w:kern w:val="0"/>
                <w:sz w:val="24"/>
              </w:rPr>
              <w:t>2020年</w:t>
            </w:r>
          </w:p>
        </w:tc>
        <w:tc>
          <w:tcPr>
            <w:tcW w:w="1063" w:type="dxa"/>
            <w:vAlign w:val="center"/>
          </w:tcPr>
          <w:p>
            <w:pPr>
              <w:jc w:val="center"/>
              <w:rPr>
                <w:rFonts w:eastAsia="黑体"/>
                <w:bCs/>
                <w:kern w:val="0"/>
                <w:sz w:val="24"/>
              </w:rPr>
            </w:pPr>
            <w:r>
              <w:rPr>
                <w:rFonts w:eastAsia="黑体"/>
                <w:bCs/>
                <w:kern w:val="0"/>
                <w:sz w:val="24"/>
              </w:rPr>
              <w:t>2025年目标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restart"/>
            <w:vAlign w:val="center"/>
          </w:tcPr>
          <w:p>
            <w:pPr>
              <w:jc w:val="center"/>
              <w:rPr>
                <w:bCs/>
                <w:kern w:val="0"/>
                <w:sz w:val="24"/>
              </w:rPr>
            </w:pPr>
            <w:r>
              <w:rPr>
                <w:bCs/>
                <w:kern w:val="0"/>
                <w:sz w:val="24"/>
              </w:rPr>
              <w:t>质量建设</w:t>
            </w:r>
          </w:p>
        </w:tc>
        <w:tc>
          <w:tcPr>
            <w:tcW w:w="5093" w:type="dxa"/>
            <w:vAlign w:val="center"/>
          </w:tcPr>
          <w:p>
            <w:pPr>
              <w:rPr>
                <w:kern w:val="0"/>
                <w:sz w:val="24"/>
              </w:rPr>
            </w:pPr>
            <w:r>
              <w:rPr>
                <w:kern w:val="0"/>
                <w:sz w:val="24"/>
              </w:rPr>
              <w:t>中国质量奖、省政府质量奖获奖组织（累计）</w:t>
            </w:r>
          </w:p>
        </w:tc>
        <w:tc>
          <w:tcPr>
            <w:tcW w:w="920" w:type="dxa"/>
            <w:vAlign w:val="center"/>
          </w:tcPr>
          <w:p>
            <w:pPr>
              <w:jc w:val="center"/>
              <w:rPr>
                <w:kern w:val="0"/>
                <w:sz w:val="24"/>
              </w:rPr>
            </w:pPr>
            <w:r>
              <w:rPr>
                <w:kern w:val="0"/>
                <w:sz w:val="24"/>
              </w:rPr>
              <w:t>家</w:t>
            </w:r>
          </w:p>
        </w:tc>
        <w:tc>
          <w:tcPr>
            <w:tcW w:w="1095" w:type="dxa"/>
            <w:vAlign w:val="center"/>
          </w:tcPr>
          <w:p>
            <w:pPr>
              <w:jc w:val="center"/>
              <w:rPr>
                <w:kern w:val="0"/>
                <w:sz w:val="24"/>
              </w:rPr>
            </w:pPr>
            <w:r>
              <w:rPr>
                <w:kern w:val="0"/>
                <w:sz w:val="24"/>
              </w:rPr>
              <w:t>81</w:t>
            </w:r>
          </w:p>
        </w:tc>
        <w:tc>
          <w:tcPr>
            <w:tcW w:w="1063" w:type="dxa"/>
            <w:vAlign w:val="center"/>
          </w:tcPr>
          <w:p>
            <w:pPr>
              <w:jc w:val="center"/>
              <w:rPr>
                <w:kern w:val="0"/>
                <w:sz w:val="24"/>
              </w:rPr>
            </w:pPr>
            <w:r>
              <w:rPr>
                <w:kern w:val="0"/>
                <w:sz w:val="24"/>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制造业产品质量合格率</w:t>
            </w:r>
          </w:p>
        </w:tc>
        <w:tc>
          <w:tcPr>
            <w:tcW w:w="920" w:type="dxa"/>
            <w:vAlign w:val="center"/>
          </w:tcPr>
          <w:p>
            <w:pPr>
              <w:jc w:val="center"/>
              <w:rPr>
                <w:kern w:val="0"/>
                <w:sz w:val="24"/>
              </w:rPr>
            </w:pPr>
            <w:r>
              <w:rPr>
                <w:kern w:val="0"/>
                <w:sz w:val="24"/>
              </w:rPr>
              <w:t>%</w:t>
            </w:r>
          </w:p>
        </w:tc>
        <w:tc>
          <w:tcPr>
            <w:tcW w:w="1095" w:type="dxa"/>
            <w:vAlign w:val="center"/>
          </w:tcPr>
          <w:p>
            <w:pPr>
              <w:jc w:val="center"/>
              <w:rPr>
                <w:kern w:val="0"/>
                <w:sz w:val="24"/>
              </w:rPr>
            </w:pPr>
            <w:r>
              <w:rPr>
                <w:kern w:val="0"/>
                <w:sz w:val="24"/>
              </w:rPr>
              <w:t>95</w:t>
            </w:r>
          </w:p>
        </w:tc>
        <w:tc>
          <w:tcPr>
            <w:tcW w:w="1063" w:type="dxa"/>
            <w:vAlign w:val="center"/>
          </w:tcPr>
          <w:p>
            <w:pPr>
              <w:jc w:val="center"/>
              <w:rPr>
                <w:kern w:val="0"/>
                <w:sz w:val="24"/>
              </w:rPr>
            </w:pPr>
            <w:r>
              <w:rPr>
                <w:kern w:val="0"/>
                <w:sz w:val="24"/>
              </w:rPr>
              <w:t>96以上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农产品质量安全监测合格率</w:t>
            </w:r>
          </w:p>
        </w:tc>
        <w:tc>
          <w:tcPr>
            <w:tcW w:w="920" w:type="dxa"/>
            <w:vAlign w:val="center"/>
          </w:tcPr>
          <w:p>
            <w:pPr>
              <w:jc w:val="center"/>
              <w:rPr>
                <w:kern w:val="0"/>
                <w:sz w:val="24"/>
              </w:rPr>
            </w:pPr>
            <w:r>
              <w:rPr>
                <w:kern w:val="0"/>
                <w:sz w:val="24"/>
              </w:rPr>
              <w:t>%</w:t>
            </w:r>
          </w:p>
        </w:tc>
        <w:tc>
          <w:tcPr>
            <w:tcW w:w="1095" w:type="dxa"/>
            <w:vAlign w:val="center"/>
          </w:tcPr>
          <w:p>
            <w:pPr>
              <w:jc w:val="center"/>
              <w:rPr>
                <w:kern w:val="0"/>
                <w:sz w:val="24"/>
              </w:rPr>
            </w:pPr>
            <w:r>
              <w:rPr>
                <w:kern w:val="0"/>
                <w:sz w:val="24"/>
              </w:rPr>
              <w:t>98</w:t>
            </w:r>
          </w:p>
        </w:tc>
        <w:tc>
          <w:tcPr>
            <w:tcW w:w="1063" w:type="dxa"/>
            <w:vAlign w:val="center"/>
          </w:tcPr>
          <w:p>
            <w:pPr>
              <w:jc w:val="center"/>
              <w:rPr>
                <w:kern w:val="0"/>
                <w:sz w:val="24"/>
              </w:rPr>
            </w:pPr>
            <w:r>
              <w:rPr>
                <w:kern w:val="0"/>
                <w:sz w:val="24"/>
              </w:rPr>
              <w:t>98以上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规模以上工业新产品产值率</w:t>
            </w:r>
          </w:p>
        </w:tc>
        <w:tc>
          <w:tcPr>
            <w:tcW w:w="920" w:type="dxa"/>
            <w:vAlign w:val="center"/>
          </w:tcPr>
          <w:p>
            <w:pPr>
              <w:jc w:val="center"/>
              <w:rPr>
                <w:kern w:val="0"/>
                <w:sz w:val="24"/>
              </w:rPr>
            </w:pPr>
            <w:r>
              <w:rPr>
                <w:kern w:val="0"/>
                <w:sz w:val="24"/>
              </w:rPr>
              <w:t>%</w:t>
            </w:r>
          </w:p>
        </w:tc>
        <w:tc>
          <w:tcPr>
            <w:tcW w:w="1095" w:type="dxa"/>
            <w:vAlign w:val="center"/>
          </w:tcPr>
          <w:p>
            <w:pPr>
              <w:jc w:val="center"/>
              <w:rPr>
                <w:kern w:val="0"/>
                <w:sz w:val="24"/>
              </w:rPr>
            </w:pPr>
            <w:r>
              <w:rPr>
                <w:kern w:val="0"/>
                <w:sz w:val="24"/>
              </w:rPr>
              <w:t>37</w:t>
            </w:r>
          </w:p>
        </w:tc>
        <w:tc>
          <w:tcPr>
            <w:tcW w:w="1063" w:type="dxa"/>
            <w:vAlign w:val="center"/>
          </w:tcPr>
          <w:p>
            <w:pPr>
              <w:jc w:val="center"/>
              <w:rPr>
                <w:kern w:val="0"/>
                <w:sz w:val="24"/>
              </w:rPr>
            </w:pPr>
            <w:r>
              <w:rPr>
                <w:kern w:val="0"/>
                <w:sz w:val="24"/>
              </w:rPr>
              <w:t>37以上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累计创鲁班奖、国家优质工程奖、詹天佑奖等国家级奖</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143</w:t>
            </w:r>
          </w:p>
        </w:tc>
        <w:tc>
          <w:tcPr>
            <w:tcW w:w="1063" w:type="dxa"/>
            <w:vAlign w:val="center"/>
          </w:tcPr>
          <w:p>
            <w:pPr>
              <w:jc w:val="center"/>
              <w:rPr>
                <w:kern w:val="0"/>
                <w:sz w:val="24"/>
              </w:rPr>
            </w:pPr>
            <w:r>
              <w:rPr>
                <w:kern w:val="0"/>
                <w:sz w:val="24"/>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设区城市空气质量优良天数比率</w:t>
            </w:r>
          </w:p>
        </w:tc>
        <w:tc>
          <w:tcPr>
            <w:tcW w:w="920" w:type="dxa"/>
            <w:vAlign w:val="center"/>
          </w:tcPr>
          <w:p>
            <w:pPr>
              <w:jc w:val="center"/>
              <w:rPr>
                <w:kern w:val="0"/>
                <w:sz w:val="24"/>
              </w:rPr>
            </w:pPr>
            <w:r>
              <w:rPr>
                <w:kern w:val="0"/>
                <w:sz w:val="24"/>
              </w:rPr>
              <w:t>%</w:t>
            </w:r>
          </w:p>
        </w:tc>
        <w:tc>
          <w:tcPr>
            <w:tcW w:w="1095" w:type="dxa"/>
            <w:vAlign w:val="center"/>
          </w:tcPr>
          <w:p>
            <w:pPr>
              <w:jc w:val="center"/>
              <w:rPr>
                <w:kern w:val="0"/>
                <w:sz w:val="24"/>
              </w:rPr>
            </w:pPr>
            <w:r>
              <w:rPr>
                <w:kern w:val="0"/>
                <w:sz w:val="24"/>
              </w:rPr>
              <w:t>93.3</w:t>
            </w:r>
          </w:p>
        </w:tc>
        <w:tc>
          <w:tcPr>
            <w:tcW w:w="1063" w:type="dxa"/>
            <w:vAlign w:val="center"/>
          </w:tcPr>
          <w:p>
            <w:pPr>
              <w:jc w:val="center"/>
              <w:rPr>
                <w:kern w:val="0"/>
                <w:sz w:val="24"/>
              </w:rPr>
            </w:pPr>
            <w:r>
              <w:rPr>
                <w:kern w:val="0"/>
                <w:sz w:val="24"/>
              </w:rPr>
              <w:t>93以上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地表水省控断面达到或优于Ⅲ类水质比例</w:t>
            </w:r>
          </w:p>
        </w:tc>
        <w:tc>
          <w:tcPr>
            <w:tcW w:w="920" w:type="dxa"/>
            <w:vAlign w:val="center"/>
          </w:tcPr>
          <w:p>
            <w:pPr>
              <w:jc w:val="center"/>
              <w:rPr>
                <w:kern w:val="0"/>
                <w:sz w:val="24"/>
              </w:rPr>
            </w:pPr>
            <w:r>
              <w:rPr>
                <w:kern w:val="0"/>
                <w:sz w:val="24"/>
              </w:rPr>
              <w:t>%</w:t>
            </w:r>
          </w:p>
        </w:tc>
        <w:tc>
          <w:tcPr>
            <w:tcW w:w="1095" w:type="dxa"/>
            <w:vAlign w:val="center"/>
          </w:tcPr>
          <w:p>
            <w:pPr>
              <w:jc w:val="center"/>
              <w:rPr>
                <w:kern w:val="0"/>
                <w:sz w:val="24"/>
              </w:rPr>
            </w:pPr>
            <w:r>
              <w:rPr>
                <w:kern w:val="0"/>
                <w:sz w:val="24"/>
              </w:rPr>
              <w:t>94.6</w:t>
            </w:r>
          </w:p>
        </w:tc>
        <w:tc>
          <w:tcPr>
            <w:tcW w:w="1063" w:type="dxa"/>
            <w:vAlign w:val="center"/>
          </w:tcPr>
          <w:p>
            <w:pPr>
              <w:jc w:val="center"/>
              <w:rPr>
                <w:kern w:val="0"/>
                <w:sz w:val="24"/>
              </w:rPr>
            </w:pPr>
            <w:r>
              <w:rPr>
                <w:kern w:val="0"/>
                <w:sz w:val="24"/>
              </w:rPr>
              <w:t>95以上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restart"/>
            <w:vAlign w:val="center"/>
          </w:tcPr>
          <w:p>
            <w:pPr>
              <w:jc w:val="center"/>
              <w:rPr>
                <w:bCs/>
                <w:kern w:val="0"/>
                <w:sz w:val="24"/>
              </w:rPr>
            </w:pPr>
            <w:r>
              <w:rPr>
                <w:bCs/>
                <w:kern w:val="0"/>
                <w:sz w:val="24"/>
              </w:rPr>
              <w:t>标准建设</w:t>
            </w:r>
          </w:p>
        </w:tc>
        <w:tc>
          <w:tcPr>
            <w:tcW w:w="5093" w:type="dxa"/>
            <w:vAlign w:val="center"/>
          </w:tcPr>
          <w:p>
            <w:pPr>
              <w:rPr>
                <w:kern w:val="0"/>
                <w:sz w:val="24"/>
              </w:rPr>
            </w:pPr>
            <w:r>
              <w:rPr>
                <w:kern w:val="0"/>
                <w:sz w:val="24"/>
              </w:rPr>
              <w:t>国家级、省级标准创新贡献奖获奖组织（新增）</w:t>
            </w:r>
          </w:p>
        </w:tc>
        <w:tc>
          <w:tcPr>
            <w:tcW w:w="920" w:type="dxa"/>
            <w:vAlign w:val="center"/>
          </w:tcPr>
          <w:p>
            <w:pPr>
              <w:jc w:val="center"/>
              <w:rPr>
                <w:kern w:val="0"/>
                <w:sz w:val="24"/>
              </w:rPr>
            </w:pPr>
            <w:r>
              <w:rPr>
                <w:kern w:val="0"/>
                <w:sz w:val="24"/>
              </w:rPr>
              <w:t>家</w:t>
            </w:r>
          </w:p>
        </w:tc>
        <w:tc>
          <w:tcPr>
            <w:tcW w:w="1095" w:type="dxa"/>
            <w:vAlign w:val="center"/>
          </w:tcPr>
          <w:p>
            <w:pPr>
              <w:jc w:val="center"/>
              <w:rPr>
                <w:kern w:val="0"/>
                <w:sz w:val="24"/>
              </w:rPr>
            </w:pPr>
            <w:r>
              <w:rPr>
                <w:kern w:val="0"/>
                <w:sz w:val="24"/>
              </w:rPr>
              <w:t>23</w:t>
            </w:r>
          </w:p>
        </w:tc>
        <w:tc>
          <w:tcPr>
            <w:tcW w:w="1063" w:type="dxa"/>
            <w:vAlign w:val="center"/>
          </w:tcPr>
          <w:p>
            <w:pPr>
              <w:jc w:val="center"/>
              <w:rPr>
                <w:kern w:val="0"/>
                <w:sz w:val="24"/>
              </w:rPr>
            </w:pPr>
            <w:r>
              <w:rPr>
                <w:kern w:val="0"/>
                <w:sz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制定“浙江制造”标准（新增）</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561</w:t>
            </w:r>
          </w:p>
        </w:tc>
        <w:tc>
          <w:tcPr>
            <w:tcW w:w="1063" w:type="dxa"/>
            <w:vAlign w:val="center"/>
          </w:tcPr>
          <w:p>
            <w:pPr>
              <w:jc w:val="center"/>
              <w:rPr>
                <w:kern w:val="0"/>
                <w:sz w:val="24"/>
              </w:rPr>
            </w:pPr>
            <w:r>
              <w:rPr>
                <w:kern w:val="0"/>
                <w:sz w:val="24"/>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主导和参与制修订国际标准（新增）</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w:t>
            </w:r>
          </w:p>
        </w:tc>
        <w:tc>
          <w:tcPr>
            <w:tcW w:w="1063" w:type="dxa"/>
            <w:vAlign w:val="center"/>
          </w:tcPr>
          <w:p>
            <w:pPr>
              <w:jc w:val="center"/>
              <w:rPr>
                <w:kern w:val="0"/>
                <w:sz w:val="24"/>
              </w:rPr>
            </w:pPr>
            <w:r>
              <w:rPr>
                <w:kern w:val="0"/>
                <w:sz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主导制修订国家标准（新增）</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w:t>
            </w:r>
          </w:p>
        </w:tc>
        <w:tc>
          <w:tcPr>
            <w:tcW w:w="1063" w:type="dxa"/>
            <w:vAlign w:val="center"/>
          </w:tcPr>
          <w:p>
            <w:pPr>
              <w:jc w:val="center"/>
              <w:rPr>
                <w:kern w:val="0"/>
                <w:sz w:val="24"/>
              </w:rPr>
            </w:pPr>
            <w:r>
              <w:rPr>
                <w:kern w:val="0"/>
                <w:sz w:val="24"/>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标准国际化试点示范单位（新增）</w:t>
            </w:r>
          </w:p>
        </w:tc>
        <w:tc>
          <w:tcPr>
            <w:tcW w:w="920" w:type="dxa"/>
            <w:vAlign w:val="center"/>
          </w:tcPr>
          <w:p>
            <w:pPr>
              <w:jc w:val="center"/>
              <w:rPr>
                <w:kern w:val="0"/>
                <w:sz w:val="24"/>
              </w:rPr>
            </w:pPr>
            <w:r>
              <w:rPr>
                <w:kern w:val="0"/>
                <w:sz w:val="24"/>
              </w:rPr>
              <w:t>家</w:t>
            </w:r>
          </w:p>
        </w:tc>
        <w:tc>
          <w:tcPr>
            <w:tcW w:w="1095" w:type="dxa"/>
            <w:vAlign w:val="center"/>
          </w:tcPr>
          <w:p>
            <w:pPr>
              <w:jc w:val="center"/>
              <w:rPr>
                <w:kern w:val="0"/>
                <w:sz w:val="24"/>
              </w:rPr>
            </w:pPr>
            <w:r>
              <w:rPr>
                <w:kern w:val="0"/>
                <w:sz w:val="24"/>
              </w:rPr>
              <w:t>-</w:t>
            </w:r>
          </w:p>
        </w:tc>
        <w:tc>
          <w:tcPr>
            <w:tcW w:w="1063" w:type="dxa"/>
            <w:vAlign w:val="center"/>
          </w:tcPr>
          <w:p>
            <w:pPr>
              <w:jc w:val="center"/>
              <w:rPr>
                <w:kern w:val="0"/>
                <w:sz w:val="24"/>
              </w:rPr>
            </w:pPr>
            <w:r>
              <w:rPr>
                <w:kern w:val="0"/>
                <w:sz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制修订服务业地方标准（新增）</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44</w:t>
            </w:r>
          </w:p>
        </w:tc>
        <w:tc>
          <w:tcPr>
            <w:tcW w:w="1063" w:type="dxa"/>
            <w:vAlign w:val="center"/>
          </w:tcPr>
          <w:p>
            <w:pPr>
              <w:jc w:val="center"/>
              <w:rPr>
                <w:kern w:val="0"/>
                <w:sz w:val="24"/>
              </w:rPr>
            </w:pPr>
            <w:r>
              <w:rPr>
                <w:kern w:val="0"/>
                <w:sz w:val="24"/>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制定绿色建筑设计地方标准（新增）</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w:t>
            </w:r>
          </w:p>
        </w:tc>
        <w:tc>
          <w:tcPr>
            <w:tcW w:w="1063" w:type="dxa"/>
            <w:vAlign w:val="center"/>
          </w:tcPr>
          <w:p>
            <w:pPr>
              <w:jc w:val="center"/>
              <w:rPr>
                <w:kern w:val="0"/>
                <w:sz w:val="24"/>
              </w:rPr>
            </w:pPr>
            <w:r>
              <w:rPr>
                <w:kern w:val="0"/>
                <w:sz w:val="24"/>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制定新型建筑工业化地方标准（新增）</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w:t>
            </w:r>
          </w:p>
        </w:tc>
        <w:tc>
          <w:tcPr>
            <w:tcW w:w="1063" w:type="dxa"/>
            <w:vAlign w:val="center"/>
          </w:tcPr>
          <w:p>
            <w:pPr>
              <w:jc w:val="center"/>
              <w:rPr>
                <w:kern w:val="0"/>
                <w:sz w:val="24"/>
              </w:rPr>
            </w:pPr>
            <w:r>
              <w:rPr>
                <w:kern w:val="0"/>
                <w:sz w:val="24"/>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国家级、省级标准化试点示范项目（新增）</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67</w:t>
            </w:r>
          </w:p>
        </w:tc>
        <w:tc>
          <w:tcPr>
            <w:tcW w:w="1063" w:type="dxa"/>
            <w:vAlign w:val="center"/>
          </w:tcPr>
          <w:p>
            <w:pPr>
              <w:jc w:val="center"/>
              <w:rPr>
                <w:kern w:val="0"/>
                <w:sz w:val="24"/>
              </w:rPr>
            </w:pPr>
            <w:r>
              <w:rPr>
                <w:kern w:val="0"/>
                <w:sz w:val="24"/>
              </w:rPr>
              <w:t>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restart"/>
            <w:vAlign w:val="center"/>
          </w:tcPr>
          <w:p>
            <w:pPr>
              <w:jc w:val="center"/>
              <w:rPr>
                <w:bCs/>
                <w:kern w:val="0"/>
                <w:sz w:val="24"/>
              </w:rPr>
            </w:pPr>
            <w:r>
              <w:rPr>
                <w:bCs/>
                <w:kern w:val="0"/>
                <w:sz w:val="24"/>
              </w:rPr>
              <w:t>品牌建设</w:t>
            </w:r>
          </w:p>
        </w:tc>
        <w:tc>
          <w:tcPr>
            <w:tcW w:w="5093" w:type="dxa"/>
            <w:vAlign w:val="center"/>
          </w:tcPr>
          <w:p>
            <w:pPr>
              <w:rPr>
                <w:kern w:val="0"/>
                <w:sz w:val="24"/>
              </w:rPr>
            </w:pPr>
            <w:r>
              <w:rPr>
                <w:kern w:val="0"/>
                <w:sz w:val="24"/>
              </w:rPr>
              <w:t>自主品牌产品出口比重</w:t>
            </w:r>
          </w:p>
        </w:tc>
        <w:tc>
          <w:tcPr>
            <w:tcW w:w="920" w:type="dxa"/>
            <w:vAlign w:val="center"/>
          </w:tcPr>
          <w:p>
            <w:pPr>
              <w:jc w:val="center"/>
              <w:rPr>
                <w:kern w:val="0"/>
                <w:sz w:val="24"/>
              </w:rPr>
            </w:pPr>
            <w:r>
              <w:rPr>
                <w:kern w:val="0"/>
                <w:sz w:val="24"/>
              </w:rPr>
              <w:t>%</w:t>
            </w:r>
          </w:p>
        </w:tc>
        <w:tc>
          <w:tcPr>
            <w:tcW w:w="1095" w:type="dxa"/>
            <w:vAlign w:val="center"/>
          </w:tcPr>
          <w:p>
            <w:pPr>
              <w:jc w:val="center"/>
              <w:rPr>
                <w:kern w:val="0"/>
                <w:sz w:val="24"/>
              </w:rPr>
            </w:pPr>
            <w:r>
              <w:rPr>
                <w:kern w:val="0"/>
                <w:sz w:val="24"/>
              </w:rPr>
              <w:t>14</w:t>
            </w:r>
          </w:p>
        </w:tc>
        <w:tc>
          <w:tcPr>
            <w:tcW w:w="1063" w:type="dxa"/>
            <w:vAlign w:val="center"/>
          </w:tcPr>
          <w:p>
            <w:pPr>
              <w:jc w:val="center"/>
              <w:rPr>
                <w:kern w:val="0"/>
                <w:sz w:val="24"/>
              </w:rPr>
            </w:pPr>
            <w:r>
              <w:rPr>
                <w:kern w:val="0"/>
                <w:sz w:val="24"/>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培育“品字标”企业（累计）</w:t>
            </w:r>
          </w:p>
        </w:tc>
        <w:tc>
          <w:tcPr>
            <w:tcW w:w="920" w:type="dxa"/>
            <w:vAlign w:val="center"/>
          </w:tcPr>
          <w:p>
            <w:pPr>
              <w:jc w:val="center"/>
              <w:rPr>
                <w:kern w:val="0"/>
                <w:sz w:val="24"/>
              </w:rPr>
            </w:pPr>
            <w:r>
              <w:rPr>
                <w:kern w:val="0"/>
                <w:sz w:val="24"/>
              </w:rPr>
              <w:t>家</w:t>
            </w:r>
          </w:p>
        </w:tc>
        <w:tc>
          <w:tcPr>
            <w:tcW w:w="1095" w:type="dxa"/>
            <w:vAlign w:val="center"/>
          </w:tcPr>
          <w:p>
            <w:pPr>
              <w:jc w:val="center"/>
              <w:rPr>
                <w:kern w:val="0"/>
                <w:sz w:val="24"/>
              </w:rPr>
            </w:pPr>
            <w:r>
              <w:rPr>
                <w:kern w:val="0"/>
                <w:sz w:val="24"/>
              </w:rPr>
              <w:t>1500</w:t>
            </w:r>
          </w:p>
        </w:tc>
        <w:tc>
          <w:tcPr>
            <w:tcW w:w="1063" w:type="dxa"/>
            <w:vAlign w:val="center"/>
          </w:tcPr>
          <w:p>
            <w:pPr>
              <w:jc w:val="center"/>
              <w:rPr>
                <w:kern w:val="0"/>
                <w:sz w:val="24"/>
              </w:rPr>
            </w:pPr>
            <w:r>
              <w:rPr>
                <w:kern w:val="0"/>
                <w:sz w:val="24"/>
              </w:rPr>
              <w:t>2500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“浙江制造”国际认证证书保有量（累计）</w:t>
            </w:r>
          </w:p>
        </w:tc>
        <w:tc>
          <w:tcPr>
            <w:tcW w:w="920" w:type="dxa"/>
            <w:vAlign w:val="center"/>
          </w:tcPr>
          <w:p>
            <w:pPr>
              <w:jc w:val="center"/>
              <w:rPr>
                <w:kern w:val="0"/>
                <w:sz w:val="24"/>
              </w:rPr>
            </w:pPr>
            <w:r>
              <w:rPr>
                <w:kern w:val="0"/>
                <w:sz w:val="24"/>
              </w:rPr>
              <w:t>张</w:t>
            </w:r>
          </w:p>
        </w:tc>
        <w:tc>
          <w:tcPr>
            <w:tcW w:w="1095" w:type="dxa"/>
            <w:vAlign w:val="center"/>
          </w:tcPr>
          <w:p>
            <w:pPr>
              <w:jc w:val="center"/>
              <w:rPr>
                <w:kern w:val="0"/>
                <w:sz w:val="24"/>
              </w:rPr>
            </w:pPr>
            <w:r>
              <w:rPr>
                <w:kern w:val="0"/>
                <w:sz w:val="24"/>
              </w:rPr>
              <w:t>200</w:t>
            </w:r>
          </w:p>
        </w:tc>
        <w:tc>
          <w:tcPr>
            <w:tcW w:w="1063" w:type="dxa"/>
            <w:vAlign w:val="center"/>
          </w:tcPr>
          <w:p>
            <w:pPr>
              <w:jc w:val="center"/>
              <w:rPr>
                <w:kern w:val="0"/>
                <w:sz w:val="24"/>
              </w:rPr>
            </w:pPr>
            <w:r>
              <w:rPr>
                <w:kern w:val="0"/>
                <w:sz w:val="24"/>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bookmarkStart w:id="42" w:name="_Hlk64903645"/>
          </w:p>
        </w:tc>
        <w:tc>
          <w:tcPr>
            <w:tcW w:w="5093" w:type="dxa"/>
            <w:vAlign w:val="center"/>
          </w:tcPr>
          <w:p>
            <w:pPr>
              <w:rPr>
                <w:kern w:val="0"/>
                <w:sz w:val="24"/>
              </w:rPr>
            </w:pPr>
            <w:r>
              <w:rPr>
                <w:kern w:val="0"/>
                <w:sz w:val="24"/>
              </w:rPr>
              <w:t>“浙江制造精品</w:t>
            </w:r>
            <w:bookmarkEnd w:id="42"/>
            <w:r>
              <w:rPr>
                <w:kern w:val="0"/>
                <w:sz w:val="24"/>
              </w:rPr>
              <w:t>”数量（累计）</w:t>
            </w:r>
          </w:p>
        </w:tc>
        <w:tc>
          <w:tcPr>
            <w:tcW w:w="920" w:type="dxa"/>
            <w:vAlign w:val="center"/>
          </w:tcPr>
          <w:p>
            <w:pPr>
              <w:jc w:val="center"/>
              <w:rPr>
                <w:kern w:val="0"/>
                <w:sz w:val="24"/>
              </w:rPr>
            </w:pPr>
            <w:r>
              <w:rPr>
                <w:kern w:val="0"/>
                <w:sz w:val="24"/>
              </w:rPr>
              <w:t>项</w:t>
            </w:r>
          </w:p>
        </w:tc>
        <w:tc>
          <w:tcPr>
            <w:tcW w:w="1095" w:type="dxa"/>
            <w:vAlign w:val="center"/>
          </w:tcPr>
          <w:p>
            <w:pPr>
              <w:jc w:val="center"/>
              <w:rPr>
                <w:kern w:val="0"/>
                <w:sz w:val="24"/>
              </w:rPr>
            </w:pPr>
            <w:r>
              <w:rPr>
                <w:kern w:val="0"/>
                <w:sz w:val="24"/>
              </w:rPr>
              <w:t>1238</w:t>
            </w:r>
          </w:p>
        </w:tc>
        <w:tc>
          <w:tcPr>
            <w:tcW w:w="1063" w:type="dxa"/>
            <w:vAlign w:val="center"/>
          </w:tcPr>
          <w:p>
            <w:pPr>
              <w:jc w:val="center"/>
              <w:rPr>
                <w:kern w:val="0"/>
                <w:sz w:val="24"/>
              </w:rPr>
            </w:pPr>
            <w:r>
              <w:rPr>
                <w:kern w:val="0"/>
                <w:sz w:val="24"/>
              </w:rPr>
              <w:t>2500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单项冠军企业数量（累计）</w:t>
            </w:r>
          </w:p>
        </w:tc>
        <w:tc>
          <w:tcPr>
            <w:tcW w:w="920" w:type="dxa"/>
            <w:vAlign w:val="center"/>
          </w:tcPr>
          <w:p>
            <w:pPr>
              <w:jc w:val="center"/>
              <w:rPr>
                <w:kern w:val="0"/>
                <w:sz w:val="24"/>
              </w:rPr>
            </w:pPr>
            <w:r>
              <w:rPr>
                <w:kern w:val="0"/>
                <w:sz w:val="24"/>
              </w:rPr>
              <w:t>家</w:t>
            </w:r>
          </w:p>
        </w:tc>
        <w:tc>
          <w:tcPr>
            <w:tcW w:w="1095" w:type="dxa"/>
            <w:vAlign w:val="center"/>
          </w:tcPr>
          <w:p>
            <w:pPr>
              <w:jc w:val="center"/>
              <w:rPr>
                <w:kern w:val="0"/>
                <w:sz w:val="24"/>
              </w:rPr>
            </w:pPr>
            <w:r>
              <w:rPr>
                <w:kern w:val="0"/>
                <w:sz w:val="24"/>
              </w:rPr>
              <w:t>114</w:t>
            </w:r>
          </w:p>
        </w:tc>
        <w:tc>
          <w:tcPr>
            <w:tcW w:w="1063" w:type="dxa"/>
            <w:vAlign w:val="center"/>
          </w:tcPr>
          <w:p>
            <w:pPr>
              <w:jc w:val="center"/>
              <w:rPr>
                <w:kern w:val="0"/>
                <w:sz w:val="24"/>
              </w:rPr>
            </w:pPr>
            <w:r>
              <w:rPr>
                <w:kern w:val="0"/>
                <w:sz w:val="24"/>
              </w:rPr>
              <w:t>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绿色产品认证覆盖领域</w:t>
            </w:r>
          </w:p>
        </w:tc>
        <w:tc>
          <w:tcPr>
            <w:tcW w:w="920" w:type="dxa"/>
            <w:vAlign w:val="center"/>
          </w:tcPr>
          <w:p>
            <w:pPr>
              <w:jc w:val="center"/>
              <w:rPr>
                <w:kern w:val="0"/>
                <w:sz w:val="24"/>
              </w:rPr>
            </w:pPr>
            <w:r>
              <w:rPr>
                <w:kern w:val="0"/>
                <w:sz w:val="24"/>
              </w:rPr>
              <w:t>个</w:t>
            </w:r>
          </w:p>
        </w:tc>
        <w:tc>
          <w:tcPr>
            <w:tcW w:w="1095" w:type="dxa"/>
            <w:vAlign w:val="center"/>
          </w:tcPr>
          <w:p>
            <w:pPr>
              <w:jc w:val="center"/>
              <w:rPr>
                <w:kern w:val="0"/>
                <w:sz w:val="24"/>
              </w:rPr>
            </w:pPr>
            <w:r>
              <w:rPr>
                <w:kern w:val="0"/>
                <w:sz w:val="24"/>
              </w:rPr>
              <w:t>12</w:t>
            </w:r>
          </w:p>
        </w:tc>
        <w:tc>
          <w:tcPr>
            <w:tcW w:w="1063" w:type="dxa"/>
            <w:vAlign w:val="center"/>
          </w:tcPr>
          <w:p>
            <w:pPr>
              <w:jc w:val="center"/>
              <w:rPr>
                <w:kern w:val="0"/>
                <w:sz w:val="24"/>
              </w:rPr>
            </w:pPr>
            <w:r>
              <w:rPr>
                <w:kern w:val="0"/>
                <w:sz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高品质服务认证证书（累计）</w:t>
            </w:r>
          </w:p>
        </w:tc>
        <w:tc>
          <w:tcPr>
            <w:tcW w:w="920" w:type="dxa"/>
            <w:vAlign w:val="center"/>
          </w:tcPr>
          <w:p>
            <w:pPr>
              <w:jc w:val="center"/>
              <w:rPr>
                <w:kern w:val="0"/>
                <w:sz w:val="24"/>
              </w:rPr>
            </w:pPr>
            <w:r>
              <w:rPr>
                <w:kern w:val="0"/>
                <w:sz w:val="24"/>
              </w:rPr>
              <w:t>张</w:t>
            </w:r>
          </w:p>
        </w:tc>
        <w:tc>
          <w:tcPr>
            <w:tcW w:w="1095" w:type="dxa"/>
            <w:vAlign w:val="center"/>
          </w:tcPr>
          <w:p>
            <w:pPr>
              <w:jc w:val="center"/>
              <w:rPr>
                <w:kern w:val="0"/>
                <w:sz w:val="24"/>
              </w:rPr>
            </w:pPr>
            <w:r>
              <w:rPr>
                <w:kern w:val="0"/>
                <w:sz w:val="24"/>
              </w:rPr>
              <w:t>2500</w:t>
            </w:r>
          </w:p>
        </w:tc>
        <w:tc>
          <w:tcPr>
            <w:tcW w:w="1063" w:type="dxa"/>
            <w:vAlign w:val="center"/>
          </w:tcPr>
          <w:p>
            <w:pPr>
              <w:jc w:val="center"/>
              <w:rPr>
                <w:kern w:val="0"/>
                <w:sz w:val="24"/>
              </w:rPr>
            </w:pPr>
            <w:r>
              <w:rPr>
                <w:kern w:val="0"/>
                <w:sz w:val="24"/>
              </w:rPr>
              <w:t>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浙江出口名牌（新增）</w:t>
            </w:r>
          </w:p>
        </w:tc>
        <w:tc>
          <w:tcPr>
            <w:tcW w:w="920" w:type="dxa"/>
            <w:vAlign w:val="center"/>
          </w:tcPr>
          <w:p>
            <w:pPr>
              <w:jc w:val="center"/>
              <w:rPr>
                <w:kern w:val="0"/>
                <w:sz w:val="24"/>
              </w:rPr>
            </w:pPr>
            <w:r>
              <w:rPr>
                <w:kern w:val="0"/>
                <w:sz w:val="24"/>
              </w:rPr>
              <w:t>个</w:t>
            </w:r>
          </w:p>
        </w:tc>
        <w:tc>
          <w:tcPr>
            <w:tcW w:w="1095" w:type="dxa"/>
            <w:vAlign w:val="center"/>
          </w:tcPr>
          <w:p>
            <w:pPr>
              <w:jc w:val="center"/>
              <w:rPr>
                <w:kern w:val="0"/>
                <w:sz w:val="24"/>
              </w:rPr>
            </w:pPr>
            <w:r>
              <w:rPr>
                <w:kern w:val="0"/>
                <w:sz w:val="24"/>
              </w:rPr>
              <w:t>-</w:t>
            </w:r>
          </w:p>
        </w:tc>
        <w:tc>
          <w:tcPr>
            <w:tcW w:w="1063" w:type="dxa"/>
            <w:vAlign w:val="center"/>
          </w:tcPr>
          <w:p>
            <w:pPr>
              <w:jc w:val="center"/>
              <w:rPr>
                <w:kern w:val="0"/>
                <w:sz w:val="24"/>
              </w:rPr>
            </w:pPr>
            <w:r>
              <w:rPr>
                <w:kern w:val="0"/>
                <w:sz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创建全国质量品牌提升示范区（新增）</w:t>
            </w:r>
          </w:p>
        </w:tc>
        <w:tc>
          <w:tcPr>
            <w:tcW w:w="920" w:type="dxa"/>
            <w:vAlign w:val="center"/>
          </w:tcPr>
          <w:p>
            <w:pPr>
              <w:jc w:val="center"/>
              <w:rPr>
                <w:kern w:val="0"/>
                <w:sz w:val="24"/>
              </w:rPr>
            </w:pPr>
            <w:r>
              <w:rPr>
                <w:kern w:val="0"/>
                <w:sz w:val="24"/>
              </w:rPr>
              <w:t>个</w:t>
            </w:r>
          </w:p>
        </w:tc>
        <w:tc>
          <w:tcPr>
            <w:tcW w:w="1095" w:type="dxa"/>
            <w:vAlign w:val="center"/>
          </w:tcPr>
          <w:p>
            <w:pPr>
              <w:jc w:val="center"/>
              <w:rPr>
                <w:kern w:val="0"/>
                <w:sz w:val="24"/>
              </w:rPr>
            </w:pPr>
            <w:r>
              <w:rPr>
                <w:kern w:val="0"/>
                <w:sz w:val="24"/>
              </w:rPr>
              <w:t>-</w:t>
            </w:r>
          </w:p>
        </w:tc>
        <w:tc>
          <w:tcPr>
            <w:tcW w:w="1063" w:type="dxa"/>
            <w:vAlign w:val="center"/>
          </w:tcPr>
          <w:p>
            <w:pPr>
              <w:jc w:val="center"/>
              <w:rPr>
                <w:kern w:val="0"/>
                <w:sz w:val="24"/>
              </w:rPr>
            </w:pPr>
            <w:r>
              <w:rPr>
                <w:kern w:val="0"/>
                <w:sz w:val="24"/>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国内有效商标注册数（累计）</w:t>
            </w:r>
          </w:p>
        </w:tc>
        <w:tc>
          <w:tcPr>
            <w:tcW w:w="920" w:type="dxa"/>
            <w:vAlign w:val="center"/>
          </w:tcPr>
          <w:p>
            <w:pPr>
              <w:jc w:val="center"/>
              <w:rPr>
                <w:kern w:val="0"/>
                <w:sz w:val="24"/>
              </w:rPr>
            </w:pPr>
            <w:r>
              <w:rPr>
                <w:kern w:val="0"/>
                <w:sz w:val="24"/>
              </w:rPr>
              <w:t>万件</w:t>
            </w:r>
          </w:p>
        </w:tc>
        <w:tc>
          <w:tcPr>
            <w:tcW w:w="1095" w:type="dxa"/>
            <w:vAlign w:val="center"/>
          </w:tcPr>
          <w:p>
            <w:pPr>
              <w:jc w:val="center"/>
              <w:rPr>
                <w:kern w:val="0"/>
                <w:sz w:val="24"/>
              </w:rPr>
            </w:pPr>
            <w:r>
              <w:rPr>
                <w:kern w:val="0"/>
                <w:sz w:val="24"/>
              </w:rPr>
              <w:t>290</w:t>
            </w:r>
          </w:p>
        </w:tc>
        <w:tc>
          <w:tcPr>
            <w:tcW w:w="1063" w:type="dxa"/>
            <w:vAlign w:val="center"/>
          </w:tcPr>
          <w:p>
            <w:pPr>
              <w:jc w:val="center"/>
              <w:rPr>
                <w:kern w:val="0"/>
                <w:sz w:val="24"/>
              </w:rPr>
            </w:pPr>
            <w:r>
              <w:rPr>
                <w:kern w:val="0"/>
                <w:sz w:val="24"/>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地理标志培育、申请数（累计）</w:t>
            </w:r>
          </w:p>
        </w:tc>
        <w:tc>
          <w:tcPr>
            <w:tcW w:w="920" w:type="dxa"/>
            <w:vAlign w:val="center"/>
          </w:tcPr>
          <w:p>
            <w:pPr>
              <w:jc w:val="center"/>
              <w:rPr>
                <w:kern w:val="0"/>
                <w:sz w:val="24"/>
              </w:rPr>
            </w:pPr>
            <w:r>
              <w:rPr>
                <w:kern w:val="0"/>
                <w:sz w:val="24"/>
              </w:rPr>
              <w:t>件</w:t>
            </w:r>
          </w:p>
        </w:tc>
        <w:tc>
          <w:tcPr>
            <w:tcW w:w="1095" w:type="dxa"/>
            <w:vAlign w:val="center"/>
          </w:tcPr>
          <w:p>
            <w:pPr>
              <w:jc w:val="center"/>
              <w:rPr>
                <w:kern w:val="0"/>
                <w:sz w:val="24"/>
              </w:rPr>
            </w:pPr>
            <w:r>
              <w:rPr>
                <w:kern w:val="0"/>
                <w:sz w:val="24"/>
              </w:rPr>
              <w:t>369</w:t>
            </w:r>
          </w:p>
        </w:tc>
        <w:tc>
          <w:tcPr>
            <w:tcW w:w="1063" w:type="dxa"/>
            <w:vAlign w:val="center"/>
          </w:tcPr>
          <w:p>
            <w:pPr>
              <w:jc w:val="center"/>
              <w:rPr>
                <w:kern w:val="0"/>
                <w:sz w:val="24"/>
              </w:rPr>
            </w:pPr>
            <w:r>
              <w:rPr>
                <w:kern w:val="0"/>
                <w:sz w:val="24"/>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4" w:type="dxa"/>
            <w:vMerge w:val="continue"/>
            <w:vAlign w:val="center"/>
          </w:tcPr>
          <w:p>
            <w:pPr>
              <w:jc w:val="center"/>
              <w:rPr>
                <w:bCs/>
                <w:kern w:val="0"/>
                <w:sz w:val="24"/>
              </w:rPr>
            </w:pPr>
          </w:p>
        </w:tc>
        <w:tc>
          <w:tcPr>
            <w:tcW w:w="5093" w:type="dxa"/>
            <w:vAlign w:val="center"/>
          </w:tcPr>
          <w:p>
            <w:pPr>
              <w:rPr>
                <w:kern w:val="0"/>
                <w:sz w:val="24"/>
              </w:rPr>
            </w:pPr>
            <w:r>
              <w:rPr>
                <w:kern w:val="0"/>
                <w:sz w:val="24"/>
              </w:rPr>
              <w:t>马德里商标国际注册量（累计）</w:t>
            </w:r>
          </w:p>
        </w:tc>
        <w:tc>
          <w:tcPr>
            <w:tcW w:w="920" w:type="dxa"/>
            <w:vAlign w:val="center"/>
          </w:tcPr>
          <w:p>
            <w:pPr>
              <w:jc w:val="center"/>
              <w:rPr>
                <w:kern w:val="0"/>
                <w:sz w:val="24"/>
              </w:rPr>
            </w:pPr>
            <w:r>
              <w:rPr>
                <w:kern w:val="0"/>
                <w:sz w:val="24"/>
              </w:rPr>
              <w:t>件</w:t>
            </w:r>
          </w:p>
        </w:tc>
        <w:tc>
          <w:tcPr>
            <w:tcW w:w="1095" w:type="dxa"/>
            <w:vAlign w:val="center"/>
          </w:tcPr>
          <w:p>
            <w:pPr>
              <w:jc w:val="center"/>
              <w:rPr>
                <w:kern w:val="0"/>
                <w:sz w:val="24"/>
              </w:rPr>
            </w:pPr>
            <w:r>
              <w:rPr>
                <w:kern w:val="0"/>
                <w:sz w:val="24"/>
              </w:rPr>
              <w:t>5900</w:t>
            </w:r>
          </w:p>
        </w:tc>
        <w:tc>
          <w:tcPr>
            <w:tcW w:w="1063" w:type="dxa"/>
            <w:vAlign w:val="center"/>
          </w:tcPr>
          <w:p>
            <w:pPr>
              <w:jc w:val="center"/>
              <w:rPr>
                <w:kern w:val="0"/>
                <w:sz w:val="24"/>
              </w:rPr>
            </w:pPr>
            <w:r>
              <w:rPr>
                <w:kern w:val="0"/>
                <w:sz w:val="24"/>
              </w:rPr>
              <w:t>7000</w:t>
            </w:r>
          </w:p>
        </w:tc>
      </w:tr>
    </w:tbl>
    <w:p>
      <w:pPr>
        <w:spacing w:line="590" w:lineRule="exact"/>
        <w:ind w:firstLine="643" w:firstLineChars="200"/>
        <w:rPr>
          <w:b/>
          <w:bCs/>
          <w:szCs w:val="32"/>
        </w:rPr>
      </w:pPr>
      <w:r>
        <w:rPr>
          <w:b/>
          <w:bCs/>
          <w:szCs w:val="32"/>
        </w:rPr>
        <w:t>2.</w:t>
      </w:r>
      <w:r>
        <w:rPr>
          <w:rFonts w:hint="eastAsia"/>
          <w:b/>
          <w:bCs/>
          <w:szCs w:val="32"/>
        </w:rPr>
        <w:t xml:space="preserve"> </w:t>
      </w:r>
      <w:r>
        <w:rPr>
          <w:b/>
          <w:bCs/>
          <w:szCs w:val="32"/>
        </w:rPr>
        <w:t>2035年远景目标</w:t>
      </w:r>
    </w:p>
    <w:p>
      <w:pPr>
        <w:spacing w:line="590" w:lineRule="exact"/>
        <w:ind w:firstLine="640" w:firstLineChars="200"/>
        <w:rPr>
          <w:rFonts w:eastAsia="宋体"/>
          <w:szCs w:val="32"/>
        </w:rPr>
      </w:pPr>
      <w:bookmarkStart w:id="43" w:name="_Hlk58442383"/>
      <w:r>
        <w:rPr>
          <w:szCs w:val="32"/>
        </w:rPr>
        <w:t>到2035年，形成覆盖全域、技术先进、国际接轨的先进标准体系，浙江产品、技术、管理和服务的品牌国际美誉度和影响力显著提升，浙江制造、浙江服务、浙江工程、浙江环境等各领域质量达到国内领先、国际先进水平，全面实现质量治理体系和治理能力现代化，高水平建成质量强省、标准强省、品牌强省。</w:t>
      </w:r>
    </w:p>
    <w:bookmarkEnd w:id="43"/>
    <w:p>
      <w:pPr>
        <w:spacing w:line="590" w:lineRule="exact"/>
        <w:ind w:firstLine="640" w:firstLineChars="200"/>
        <w:outlineLvl w:val="0"/>
        <w:rPr>
          <w:rFonts w:eastAsia="黑体"/>
          <w:kern w:val="44"/>
          <w:szCs w:val="32"/>
        </w:rPr>
      </w:pPr>
      <w:bookmarkStart w:id="44" w:name="_Toc26163"/>
      <w:bookmarkStart w:id="45" w:name="_Toc62539222"/>
      <w:bookmarkStart w:id="46" w:name="_Toc62751181"/>
      <w:bookmarkStart w:id="47" w:name="_Toc65063856"/>
      <w:r>
        <w:rPr>
          <w:rFonts w:eastAsia="黑体"/>
          <w:kern w:val="44"/>
          <w:szCs w:val="32"/>
        </w:rPr>
        <w:t>三、推动“浙江制造”迈向全球高端</w:t>
      </w:r>
      <w:bookmarkEnd w:id="44"/>
      <w:bookmarkEnd w:id="45"/>
      <w:bookmarkEnd w:id="46"/>
      <w:bookmarkEnd w:id="47"/>
    </w:p>
    <w:p>
      <w:pPr>
        <w:spacing w:line="590" w:lineRule="exact"/>
        <w:ind w:firstLine="640" w:firstLineChars="200"/>
        <w:outlineLvl w:val="1"/>
        <w:rPr>
          <w:rFonts w:eastAsia="楷体_GB2312"/>
          <w:bCs/>
          <w:szCs w:val="32"/>
        </w:rPr>
      </w:pPr>
      <w:bookmarkStart w:id="48" w:name="_Hlk58442512"/>
      <w:bookmarkStart w:id="49" w:name="_Toc65063857"/>
      <w:bookmarkStart w:id="50" w:name="_Toc62751182"/>
      <w:bookmarkStart w:id="51" w:name="_Toc14512"/>
      <w:bookmarkStart w:id="52" w:name="_Toc62539223"/>
      <w:r>
        <w:rPr>
          <w:rFonts w:eastAsia="楷体_GB2312"/>
          <w:bCs/>
          <w:szCs w:val="32"/>
        </w:rPr>
        <w:t>（一）</w:t>
      </w:r>
      <w:bookmarkEnd w:id="48"/>
      <w:bookmarkStart w:id="53" w:name="_Hlk58446490"/>
      <w:r>
        <w:rPr>
          <w:rFonts w:eastAsia="楷体_GB2312"/>
          <w:bCs/>
          <w:szCs w:val="32"/>
        </w:rPr>
        <w:t>打造“浙江制造”质量新优势</w:t>
      </w:r>
      <w:bookmarkEnd w:id="49"/>
      <w:bookmarkEnd w:id="50"/>
      <w:bookmarkEnd w:id="51"/>
      <w:bookmarkEnd w:id="52"/>
    </w:p>
    <w:p>
      <w:pPr>
        <w:spacing w:line="590" w:lineRule="exact"/>
        <w:ind w:firstLine="643" w:firstLineChars="200"/>
        <w:rPr>
          <w:bCs/>
          <w:szCs w:val="32"/>
        </w:rPr>
      </w:pPr>
      <w:r>
        <w:rPr>
          <w:b/>
          <w:szCs w:val="32"/>
        </w:rPr>
        <w:t>提升产业链质量水平。</w:t>
      </w:r>
      <w:r>
        <w:rPr>
          <w:bCs/>
          <w:szCs w:val="32"/>
        </w:rPr>
        <w:t>以十大标志性产业链和“415”先进制造业集群为重点，</w:t>
      </w:r>
      <w:bookmarkEnd w:id="53"/>
      <w:r>
        <w:rPr>
          <w:bCs/>
          <w:szCs w:val="32"/>
        </w:rPr>
        <w:t>对标国际先进水平，开展制造业质量提升行动，提升研发、设计、制造、营销等核心环节能级，提高全球供应链协同和资源配置能力。持续推进重点行业、规模以上制造业企业、产业园区及产业集群等实现数字化改造全覆盖。积极创建全国质量强市（县）示范城市和质量品牌提升示范区。</w:t>
      </w:r>
    </w:p>
    <w:p>
      <w:pPr>
        <w:spacing w:line="590" w:lineRule="exact"/>
        <w:ind w:firstLine="643" w:firstLineChars="200"/>
        <w:rPr>
          <w:bCs/>
          <w:szCs w:val="32"/>
        </w:rPr>
      </w:pPr>
      <w:r>
        <w:rPr>
          <w:b/>
          <w:szCs w:val="32"/>
        </w:rPr>
        <w:t>完善企业质量管理制度。</w:t>
      </w:r>
      <w:r>
        <w:rPr>
          <w:szCs w:val="32"/>
        </w:rPr>
        <w:t>实施质量管理“千争创万导入”行动，</w:t>
      </w:r>
      <w:r>
        <w:rPr>
          <w:bCs/>
          <w:szCs w:val="32"/>
        </w:rPr>
        <w:t>引导企业树立“质量第一”的理念，利用质量集成管理方法，整合生产组织全过程要素资源，大力推广卓越绩效模式、精益生产、能力成熟度模型等现代管理制度，普及质量通用标准规范，支持企业争创制造业领域中国质量奖。推广使用智能化设备、信息化系统、工业互联网，实现智能化生产、智慧化管理、协同化制造。</w:t>
      </w:r>
    </w:p>
    <w:p>
      <w:pPr>
        <w:spacing w:line="590" w:lineRule="exact"/>
        <w:ind w:firstLine="643" w:firstLineChars="200"/>
        <w:rPr>
          <w:bCs/>
          <w:szCs w:val="32"/>
        </w:rPr>
      </w:pPr>
      <w:r>
        <w:rPr>
          <w:b/>
          <w:szCs w:val="32"/>
        </w:rPr>
        <w:t>提高产品质量性能。</w:t>
      </w:r>
      <w:r>
        <w:rPr>
          <w:bCs/>
          <w:szCs w:val="32"/>
        </w:rPr>
        <w:t>聚焦重点行业重点产品，大力推广应用新技术、新工艺、新材料和新生产组织方式，在产品性能、成本、能耗等方面取得综合优势。针对基础元器件、关键基础材料、数字化装备，攻克一批制约质量提升的关键共性技术，推动浙江产品质量达到国际先进水平。实施质量标杆对标达标行动，以“比学赶超”促整体质量提升。</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b/>
                <w:sz w:val="24"/>
              </w:rPr>
            </w:pPr>
            <w:r>
              <w:rPr>
                <w:rFonts w:eastAsia="黑体"/>
                <w:bCs/>
                <w:sz w:val="28"/>
              </w:rPr>
              <w:t>专栏3-1  推进浙江制造质量提升重点工作</w:t>
            </w:r>
          </w:p>
          <w:p>
            <w:pPr>
              <w:adjustRightInd w:val="0"/>
              <w:snapToGrid w:val="0"/>
              <w:spacing w:line="360" w:lineRule="exact"/>
              <w:ind w:firstLine="480" w:firstLineChars="200"/>
              <w:rPr>
                <w:b/>
                <w:sz w:val="24"/>
              </w:rPr>
            </w:pPr>
            <w:r>
              <w:rPr>
                <w:rFonts w:eastAsia="楷体_GB2312"/>
                <w:bCs/>
                <w:sz w:val="24"/>
              </w:rPr>
              <w:t>制造业产业基础再造和产业链提升工程。</w:t>
            </w:r>
            <w:r>
              <w:rPr>
                <w:sz w:val="24"/>
              </w:rPr>
              <w:t>围绕十大标志性产业链，</w:t>
            </w:r>
            <w:r>
              <w:rPr>
                <w:bCs/>
                <w:sz w:val="24"/>
              </w:rPr>
              <w:t>推动实施</w:t>
            </w:r>
            <w:r>
              <w:rPr>
                <w:sz w:val="24"/>
              </w:rPr>
              <w:t>制造业基础再造强链、可替代技术产品供应链重组补链、产业链协同创新强链、制造业首台（套）产品应用补链、全球精准合作补链、关键核心技术与断链断供技术攻关补链、产业链上下游企业共同体带动护链、工业互联网建链、涉企服务平台畅链、数字新基建强链等十大重点工作。全方位推进产业基础再造和产业链提升，建设全球先进制造业基地。</w:t>
            </w:r>
          </w:p>
          <w:p>
            <w:pPr>
              <w:adjustRightInd w:val="0"/>
              <w:snapToGrid w:val="0"/>
              <w:spacing w:line="360" w:lineRule="exact"/>
              <w:ind w:firstLine="480" w:firstLineChars="200"/>
              <w:rPr>
                <w:sz w:val="24"/>
              </w:rPr>
            </w:pPr>
            <w:r>
              <w:rPr>
                <w:rFonts w:eastAsia="楷体_GB2312"/>
                <w:bCs/>
                <w:sz w:val="24"/>
              </w:rPr>
              <w:t>块状经济特色产业质量提升行动。</w:t>
            </w:r>
            <w:r>
              <w:rPr>
                <w:sz w:val="24"/>
              </w:rPr>
              <w:t>以数字化为引领，加快块状特色经济集聚化、服务化、绿色化转型，强化关键领域补短板，打造具有核心竞争力的块状特色经济。实施平台整合优化、数字化赋能、制造业与服务业深度融合、绿色化改造、关键领域补短板、品牌力提升等六大工程。</w:t>
            </w:r>
          </w:p>
          <w:p>
            <w:pPr>
              <w:adjustRightInd w:val="0"/>
              <w:snapToGrid w:val="0"/>
              <w:spacing w:line="360" w:lineRule="exact"/>
              <w:ind w:firstLine="480" w:firstLineChars="200"/>
              <w:rPr>
                <w:sz w:val="24"/>
              </w:rPr>
            </w:pPr>
            <w:r>
              <w:rPr>
                <w:rFonts w:eastAsia="楷体_GB2312"/>
                <w:bCs/>
                <w:sz w:val="24"/>
              </w:rPr>
              <w:t>传统制造业改造提升2.0版。</w:t>
            </w:r>
            <w:r>
              <w:rPr>
                <w:sz w:val="24"/>
              </w:rPr>
              <w:t>一是打造数字化转型引领区。传统制造业数字化、网络化、智能化水平不断提升，重点行业、规上制造业企业、产业园区及产业集群等实现数字化改造提升全覆盖，制造业数字化水平位居全国前列。二是打造服务型制造先行区。重点行业服务型制造新模式全覆盖，融合型新业态、新模式引领全国，共享制造有效推进。三是打造产业链再造创新区。围绕重点领域，打造10条左右具有国际竞争力的特色优势产业链，形成若干世界级先进制造业集群，培育一批世界一流企业和品牌。</w:t>
            </w:r>
          </w:p>
          <w:p>
            <w:pPr>
              <w:adjustRightInd w:val="0"/>
              <w:snapToGrid w:val="0"/>
              <w:spacing w:line="360" w:lineRule="exact"/>
              <w:ind w:firstLine="480" w:firstLineChars="200"/>
              <w:rPr>
                <w:b/>
                <w:sz w:val="24"/>
              </w:rPr>
            </w:pPr>
            <w:r>
              <w:rPr>
                <w:rFonts w:eastAsia="楷体_GB2312"/>
                <w:bCs/>
                <w:sz w:val="24"/>
              </w:rPr>
              <w:t>数字赋能制造业质量管理创新。</w:t>
            </w:r>
            <w:r>
              <w:rPr>
                <w:bCs/>
                <w:sz w:val="24"/>
              </w:rPr>
              <w:t>深入推进智能制造应用，加快制造产业“上云用数赋智”，推广柔性制造、云制造、共享制造、服务型制造等新制造模式，支持制造企业积极建设基于安全可靠工业互联网平台的生产质量管理测试床、质量管理平台建设。</w:t>
            </w:r>
          </w:p>
        </w:tc>
      </w:tr>
    </w:tbl>
    <w:p>
      <w:pPr>
        <w:spacing w:line="590" w:lineRule="exact"/>
        <w:ind w:firstLine="640" w:firstLineChars="200"/>
        <w:outlineLvl w:val="1"/>
        <w:rPr>
          <w:rFonts w:eastAsia="楷体_GB2312"/>
          <w:bCs/>
          <w:szCs w:val="32"/>
        </w:rPr>
      </w:pPr>
      <w:bookmarkStart w:id="54" w:name="_Toc62751183"/>
      <w:bookmarkStart w:id="55" w:name="_Toc62539224"/>
      <w:bookmarkStart w:id="56" w:name="_Hlk58442527"/>
      <w:bookmarkStart w:id="57" w:name="_Toc6465"/>
      <w:bookmarkStart w:id="58" w:name="_Toc65063858"/>
      <w:r>
        <w:rPr>
          <w:rFonts w:eastAsia="楷体_GB2312"/>
          <w:bCs/>
          <w:szCs w:val="32"/>
        </w:rPr>
        <w:t>（二）迭代升级“浙江制造”先进标准体系</w:t>
      </w:r>
      <w:bookmarkEnd w:id="54"/>
      <w:bookmarkEnd w:id="55"/>
      <w:bookmarkEnd w:id="56"/>
      <w:bookmarkEnd w:id="57"/>
      <w:bookmarkEnd w:id="58"/>
    </w:p>
    <w:p>
      <w:pPr>
        <w:spacing w:line="590" w:lineRule="exact"/>
        <w:ind w:firstLine="643" w:firstLineChars="200"/>
        <w:rPr>
          <w:szCs w:val="32"/>
        </w:rPr>
      </w:pPr>
      <w:r>
        <w:rPr>
          <w:b/>
          <w:szCs w:val="32"/>
        </w:rPr>
        <w:t>加强“浙江制造”先进标准供给。</w:t>
      </w:r>
      <w:r>
        <w:rPr>
          <w:szCs w:val="32"/>
        </w:rPr>
        <w:t>增强浙江企业标准话语权意识，推动企业建立全过程、全方位的先进质量标准体系，树立一批企业标准领跑者。支持组建一批产业技术标准创新联盟，主导制修订一批国际标准、国家标准、行业标准和先进团体标准，构建国内领先、国际先进的“浙江制造”标准体系。</w:t>
      </w:r>
    </w:p>
    <w:p>
      <w:pPr>
        <w:spacing w:line="590" w:lineRule="exact"/>
        <w:ind w:firstLine="643" w:firstLineChars="200"/>
        <w:rPr>
          <w:rFonts w:hint="eastAsia"/>
          <w:szCs w:val="32"/>
        </w:rPr>
      </w:pPr>
      <w:r>
        <w:rPr>
          <w:b/>
          <w:bCs/>
          <w:szCs w:val="32"/>
        </w:rPr>
        <w:t>推进标准创新载体建设。</w:t>
      </w:r>
      <w:r>
        <w:rPr>
          <w:szCs w:val="32"/>
        </w:rPr>
        <w:t>围绕数字经济、生命健康、新材料、人工智能、高端装备、节能降耗等重点领域，建设一批国家和省级技术标准创新基地、标准创新联盟和验证平台，实现标准创新和产业应用的有效对接。依托高等院校、科研院所、大中型骨干企业，建设一批开放型科技成果和标准必要专利转化平台，促进创新成果专利化、专利标准化、标准产业化。</w:t>
      </w:r>
    </w:p>
    <w:p>
      <w:pPr>
        <w:spacing w:line="590" w:lineRule="exact"/>
        <w:ind w:firstLine="640" w:firstLineChars="200"/>
        <w:rPr>
          <w:szCs w:val="32"/>
        </w:rPr>
      </w:pP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专栏3-2  构建十大标志性产业链标准体系</w:t>
            </w:r>
          </w:p>
          <w:p>
            <w:pPr>
              <w:adjustRightInd w:val="0"/>
              <w:snapToGrid w:val="0"/>
              <w:spacing w:line="360" w:lineRule="exact"/>
              <w:ind w:firstLine="480" w:firstLineChars="200"/>
              <w:rPr>
                <w:bCs/>
                <w:sz w:val="24"/>
              </w:rPr>
            </w:pPr>
            <w:r>
              <w:rPr>
                <w:rFonts w:eastAsia="楷体_GB2312"/>
                <w:bCs/>
                <w:sz w:val="24"/>
              </w:rPr>
              <w:t>数字安防。</w:t>
            </w:r>
            <w:r>
              <w:rPr>
                <w:bCs/>
                <w:sz w:val="24"/>
              </w:rPr>
              <w:t>在芯片、关键核心元器件、智能算法等关键共性技术领域</w:t>
            </w:r>
            <w:r>
              <w:rPr>
                <w:sz w:val="24"/>
              </w:rPr>
              <w:t>研制一批标准</w:t>
            </w:r>
            <w:r>
              <w:rPr>
                <w:bCs/>
                <w:sz w:val="24"/>
              </w:rPr>
              <w:t>。</w:t>
            </w:r>
          </w:p>
          <w:p>
            <w:pPr>
              <w:adjustRightInd w:val="0"/>
              <w:snapToGrid w:val="0"/>
              <w:spacing w:line="360" w:lineRule="exact"/>
              <w:ind w:firstLine="480" w:firstLineChars="200"/>
              <w:rPr>
                <w:sz w:val="24"/>
              </w:rPr>
            </w:pPr>
            <w:r>
              <w:rPr>
                <w:rFonts w:eastAsia="楷体_GB2312"/>
                <w:bCs/>
                <w:sz w:val="24"/>
              </w:rPr>
              <w:t>集成电路。</w:t>
            </w:r>
            <w:r>
              <w:rPr>
                <w:sz w:val="24"/>
              </w:rPr>
              <w:t>在突破第三代半导体芯片、专用设计软件（电子设计自动化工具等）、专用设备与材料等技术，前瞻布局毫米波芯片、太赫兹芯片、云端一体芯片等领域研制一批标准。</w:t>
            </w:r>
          </w:p>
          <w:p>
            <w:pPr>
              <w:adjustRightInd w:val="0"/>
              <w:snapToGrid w:val="0"/>
              <w:spacing w:line="360" w:lineRule="exact"/>
              <w:ind w:firstLine="480" w:firstLineChars="200"/>
              <w:rPr>
                <w:sz w:val="24"/>
              </w:rPr>
            </w:pPr>
            <w:r>
              <w:rPr>
                <w:rFonts w:eastAsia="楷体_GB2312"/>
                <w:bCs/>
                <w:sz w:val="24"/>
              </w:rPr>
              <w:t>网络通信。</w:t>
            </w:r>
            <w:r>
              <w:rPr>
                <w:sz w:val="24"/>
              </w:rPr>
              <w:t>在通信芯片、关键射频器件、高端光器件等领域制定标准。</w:t>
            </w:r>
          </w:p>
          <w:p>
            <w:pPr>
              <w:adjustRightInd w:val="0"/>
              <w:snapToGrid w:val="0"/>
              <w:spacing w:line="360" w:lineRule="exact"/>
              <w:ind w:firstLine="480" w:firstLineChars="200"/>
              <w:rPr>
                <w:sz w:val="24"/>
              </w:rPr>
            </w:pPr>
            <w:r>
              <w:rPr>
                <w:rFonts w:eastAsia="楷体_GB2312"/>
                <w:bCs/>
                <w:sz w:val="24"/>
              </w:rPr>
              <w:t>智能计算。</w:t>
            </w:r>
            <w:r>
              <w:rPr>
                <w:sz w:val="24"/>
              </w:rPr>
              <w:t>在芯片、存储设备、服务器、操作系统、高性能智能计算构建体系、智能算力等领域研制一批标准。</w:t>
            </w:r>
          </w:p>
          <w:p>
            <w:pPr>
              <w:adjustRightInd w:val="0"/>
              <w:snapToGrid w:val="0"/>
              <w:spacing w:line="360" w:lineRule="exact"/>
              <w:ind w:firstLine="480" w:firstLineChars="200"/>
              <w:rPr>
                <w:sz w:val="24"/>
              </w:rPr>
            </w:pPr>
            <w:r>
              <w:rPr>
                <w:rFonts w:eastAsia="楷体_GB2312"/>
                <w:bCs/>
                <w:sz w:val="24"/>
              </w:rPr>
              <w:t>生物医药。</w:t>
            </w:r>
            <w:r>
              <w:rPr>
                <w:sz w:val="24"/>
              </w:rPr>
              <w:t>探索制定数字化医药研发创新体系标准。</w:t>
            </w:r>
          </w:p>
          <w:p>
            <w:pPr>
              <w:adjustRightInd w:val="0"/>
              <w:snapToGrid w:val="0"/>
              <w:spacing w:line="360" w:lineRule="exact"/>
              <w:ind w:firstLine="480" w:firstLineChars="200"/>
              <w:rPr>
                <w:sz w:val="24"/>
              </w:rPr>
            </w:pPr>
            <w:r>
              <w:rPr>
                <w:rFonts w:eastAsia="楷体_GB2312"/>
                <w:bCs/>
                <w:sz w:val="24"/>
              </w:rPr>
              <w:t>炼化一体化与新材料。</w:t>
            </w:r>
            <w:r>
              <w:rPr>
                <w:sz w:val="24"/>
              </w:rPr>
              <w:t>在乙烯产业链关键核心技术（产品）、关键生产设备等领域制定标准。在先进光刻胶产品及原料制备关键技术、集成硅系电路制造用前躯体材料制造技术、200L电子级化学品超纯包装容器、PFA超纯包装品等领域研制一批标准。</w:t>
            </w:r>
          </w:p>
          <w:p>
            <w:pPr>
              <w:adjustRightInd w:val="0"/>
              <w:snapToGrid w:val="0"/>
              <w:spacing w:line="360" w:lineRule="exact"/>
              <w:ind w:firstLine="480" w:firstLineChars="200"/>
              <w:rPr>
                <w:sz w:val="24"/>
              </w:rPr>
            </w:pPr>
            <w:r>
              <w:rPr>
                <w:rFonts w:eastAsia="楷体_GB2312"/>
                <w:bCs/>
                <w:sz w:val="24"/>
              </w:rPr>
              <w:t>节能与新能源汽车。</w:t>
            </w:r>
            <w:r>
              <w:rPr>
                <w:sz w:val="24"/>
              </w:rPr>
              <w:t>在油电混合动力、高效内燃机、先进变速器、尾气处理等关键技术领域研制标准。围绕动力电池与电池管理系统、电机驱动与电力电子总成、电动汽车智能化技术、燃料电池动力系统、插电/增程式混合动力系统和纯电动力系统等6个创新链研制一批标准。</w:t>
            </w:r>
          </w:p>
          <w:p>
            <w:pPr>
              <w:adjustRightInd w:val="0"/>
              <w:snapToGrid w:val="0"/>
              <w:spacing w:line="360" w:lineRule="exact"/>
              <w:ind w:firstLine="480" w:firstLineChars="200"/>
              <w:rPr>
                <w:sz w:val="24"/>
              </w:rPr>
            </w:pPr>
            <w:r>
              <w:rPr>
                <w:rFonts w:eastAsia="楷体_GB2312"/>
                <w:bCs/>
                <w:sz w:val="24"/>
              </w:rPr>
              <w:t>智能装备。</w:t>
            </w:r>
            <w:r>
              <w:rPr>
                <w:sz w:val="24"/>
              </w:rPr>
              <w:t>重点聚焦高速主轴编码器、高性能多轴联动数控系统、精密主轴及驱动系统和高精度滚珠丝杠等数控机床产业的关键领域研制标准。在高性能工业机器人控制器、减速器、伺服电机等机器人产品领域研制一批标准。</w:t>
            </w:r>
          </w:p>
          <w:p>
            <w:pPr>
              <w:adjustRightInd w:val="0"/>
              <w:snapToGrid w:val="0"/>
              <w:spacing w:line="360" w:lineRule="exact"/>
              <w:ind w:firstLine="480" w:firstLineChars="200"/>
              <w:rPr>
                <w:sz w:val="24"/>
              </w:rPr>
            </w:pPr>
            <w:r>
              <w:rPr>
                <w:rFonts w:eastAsia="楷体_GB2312"/>
                <w:bCs/>
                <w:sz w:val="24"/>
              </w:rPr>
              <w:t>智能家居。</w:t>
            </w:r>
            <w:r>
              <w:rPr>
                <w:sz w:val="24"/>
              </w:rPr>
              <w:t>在智能门锁、智能家电、智能照明、智能厨卫等领域研制一批标准。</w:t>
            </w:r>
          </w:p>
          <w:p>
            <w:pPr>
              <w:adjustRightInd w:val="0"/>
              <w:snapToGrid w:val="0"/>
              <w:spacing w:line="360" w:lineRule="exact"/>
              <w:ind w:firstLine="480" w:firstLineChars="200"/>
              <w:rPr>
                <w:b/>
                <w:sz w:val="24"/>
                <w:highlight w:val="yellow"/>
              </w:rPr>
            </w:pPr>
            <w:r>
              <w:rPr>
                <w:rFonts w:eastAsia="楷体_GB2312"/>
                <w:bCs/>
                <w:sz w:val="24"/>
              </w:rPr>
              <w:t>现代纺织。</w:t>
            </w:r>
            <w:r>
              <w:rPr>
                <w:sz w:val="24"/>
              </w:rPr>
              <w:t>在高端纺织装备、纺织新材料等现代纺织领域研制一批标准。</w:t>
            </w:r>
          </w:p>
        </w:tc>
      </w:tr>
    </w:tbl>
    <w:p>
      <w:pPr>
        <w:spacing w:line="590" w:lineRule="exact"/>
        <w:ind w:firstLine="640" w:firstLineChars="200"/>
        <w:outlineLvl w:val="1"/>
        <w:rPr>
          <w:rFonts w:eastAsia="楷体_GB2312"/>
          <w:bCs/>
          <w:szCs w:val="32"/>
        </w:rPr>
      </w:pPr>
      <w:bookmarkStart w:id="59" w:name="_Toc65063859"/>
      <w:bookmarkStart w:id="60" w:name="_Toc62751184"/>
      <w:bookmarkStart w:id="61" w:name="_Toc16676"/>
      <w:bookmarkStart w:id="62" w:name="_Hlk58442534"/>
      <w:bookmarkStart w:id="63" w:name="_Toc62539225"/>
      <w:r>
        <w:rPr>
          <w:rFonts w:eastAsia="楷体_GB2312"/>
          <w:bCs/>
          <w:szCs w:val="32"/>
        </w:rPr>
        <w:t>（三）全面打响“浙江制造”品牌</w:t>
      </w:r>
      <w:bookmarkEnd w:id="59"/>
      <w:bookmarkEnd w:id="60"/>
      <w:bookmarkEnd w:id="61"/>
      <w:bookmarkEnd w:id="62"/>
      <w:bookmarkEnd w:id="63"/>
    </w:p>
    <w:p>
      <w:pPr>
        <w:spacing w:line="590" w:lineRule="exact"/>
        <w:ind w:firstLine="643" w:firstLineChars="200"/>
        <w:rPr>
          <w:b/>
          <w:bCs/>
          <w:szCs w:val="32"/>
        </w:rPr>
      </w:pPr>
      <w:r>
        <w:rPr>
          <w:b/>
          <w:bCs/>
          <w:szCs w:val="32"/>
        </w:rPr>
        <w:t>大力推广“浙江制造精品”。</w:t>
      </w:r>
      <w:r>
        <w:rPr>
          <w:szCs w:val="32"/>
        </w:rPr>
        <w:t>加大对“浙江制造精品”的宣传推广和政策支持力度，促进在政府采购、工程建设、民生消费中的应用，推动落实“互联网+”政府采购政策，不断提升浙江制造产品市场份额和美誉度，加大品牌拓市场、增效益、提价值力度。到2025年，培育“浙江制造精品”2500项。</w:t>
      </w:r>
    </w:p>
    <w:p>
      <w:pPr>
        <w:spacing w:line="590" w:lineRule="exact"/>
        <w:ind w:firstLine="643" w:firstLineChars="200"/>
        <w:rPr>
          <w:szCs w:val="32"/>
        </w:rPr>
      </w:pPr>
      <w:r>
        <w:rPr>
          <w:b/>
          <w:bCs/>
          <w:szCs w:val="32"/>
        </w:rPr>
        <w:t>打造知名企业品牌。</w:t>
      </w:r>
      <w:r>
        <w:rPr>
          <w:szCs w:val="32"/>
        </w:rPr>
        <w:t>引导企业建立以质量为核心的品牌发展战略，挖掘一批有竞争力的“浙江制造”品牌，变制造为创造、变贴牌为创牌，新增一批省政府质量奖企业。做优做强品牌提升服务体系，以《品牌指导服务站建设规范》地方标准为指引，建成500家以上功能全、服务优、全链条、全覆盖的商标品牌服务指导站。制定品牌培育管理体系标准，完善品牌培育成熟度评价机制。实施内外销产品“同线同标同质”工程，推进“品质浙货·行销天下”活动，培育一批省出口名牌，增加优质浙江产品供给。</w:t>
      </w:r>
    </w:p>
    <w:p>
      <w:pPr>
        <w:spacing w:line="590" w:lineRule="exact"/>
        <w:ind w:firstLine="643" w:firstLineChars="200"/>
        <w:rPr>
          <w:szCs w:val="32"/>
        </w:rPr>
      </w:pPr>
      <w:r>
        <w:rPr>
          <w:b/>
          <w:bCs/>
          <w:szCs w:val="32"/>
        </w:rPr>
        <w:t>打造美誉度高的集群和区域品牌。</w:t>
      </w:r>
      <w:r>
        <w:rPr>
          <w:szCs w:val="32"/>
        </w:rPr>
        <w:t>推进制造业产业集群品牌建设，探索集体商标、证明商标在产业集群中的应用和保护。大力推进“品字标”区域公共品牌建设，完善品牌建设制度体系，提高“品字标”在国际上的认可度和影响力。到2025年，培育“品字标”品牌企业2500家。</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专栏3-3  “浙江制造”品牌培育计划</w:t>
            </w:r>
          </w:p>
          <w:p>
            <w:pPr>
              <w:adjustRightInd w:val="0"/>
              <w:snapToGrid w:val="0"/>
              <w:spacing w:line="360" w:lineRule="exact"/>
              <w:ind w:firstLine="480" w:firstLineChars="200"/>
              <w:rPr>
                <w:b/>
                <w:sz w:val="24"/>
              </w:rPr>
            </w:pPr>
            <w:r>
              <w:rPr>
                <w:rFonts w:eastAsia="楷体_GB2312"/>
                <w:bCs/>
                <w:sz w:val="24"/>
              </w:rPr>
              <w:t>“品字标浙江制造”。</w:t>
            </w:r>
            <w:r>
              <w:rPr>
                <w:sz w:val="24"/>
              </w:rPr>
              <w:t>坚持“国内一流、国际先进”定位，以高端产品引领中高端消费市场，大力培育终端消费品企业，覆盖“专精特新”企业，拓展国内市场。完善以区域品牌、先进标准、市场认证、国际认同为核心的“品字标”品牌建设制度体系，加快实现“一个标准、一次检测、一次认证、多国证书”，提高“品字标”在国际上的认可度和影响力。</w:t>
            </w:r>
          </w:p>
          <w:p>
            <w:pPr>
              <w:adjustRightInd w:val="0"/>
              <w:snapToGrid w:val="0"/>
              <w:spacing w:line="360" w:lineRule="exact"/>
              <w:ind w:firstLine="480" w:firstLineChars="200"/>
              <w:rPr>
                <w:sz w:val="24"/>
              </w:rPr>
            </w:pPr>
            <w:r>
              <w:rPr>
                <w:rFonts w:eastAsia="楷体_GB2312"/>
                <w:bCs/>
                <w:sz w:val="24"/>
              </w:rPr>
              <w:t>雄鹰行动。</w:t>
            </w:r>
            <w:r>
              <w:rPr>
                <w:sz w:val="24"/>
              </w:rPr>
              <w:t>制造业和生产性服务业年营业收入超千亿元的企业力争达到30家，进入世界500强的企业8家。培育一批资源配置能力强、国际市场占有率高、具有核心竞争力的企业，一批创新能力强、跻身世界前列的企业，一批抢占发展先机、在全球同行业中具有引领作用的新经济企业。</w:t>
            </w:r>
          </w:p>
          <w:p>
            <w:pPr>
              <w:spacing w:line="360" w:lineRule="exact"/>
              <w:ind w:firstLine="480" w:firstLineChars="200"/>
              <w:rPr>
                <w:sz w:val="24"/>
              </w:rPr>
            </w:pPr>
            <w:r>
              <w:rPr>
                <w:rFonts w:eastAsia="楷体_GB2312"/>
                <w:bCs/>
                <w:sz w:val="24"/>
              </w:rPr>
              <w:t>打造“单项冠军之省”。</w:t>
            </w:r>
            <w:r>
              <w:rPr>
                <w:sz w:val="24"/>
              </w:rPr>
              <w:t>全省冠军企业培育生态更加完善，创新实力更为雄厚、发展质量效益明显提升、市场占有率稳步增长。力保制造业单项冠军数量全国第一，基本实现全省设区市制造业单项冠军全覆盖，打造3-5个“单项冠军之城”，6-8个“单项冠军之县”，成为全国制造业“单项冠军之省”。</w:t>
            </w:r>
          </w:p>
          <w:p>
            <w:pPr>
              <w:spacing w:line="360" w:lineRule="exact"/>
              <w:ind w:firstLine="480" w:firstLineChars="200"/>
              <w:rPr>
                <w:b/>
                <w:sz w:val="24"/>
              </w:rPr>
            </w:pPr>
            <w:r>
              <w:rPr>
                <w:rFonts w:eastAsia="楷体_GB2312"/>
                <w:bCs/>
                <w:sz w:val="24"/>
              </w:rPr>
              <w:t>雏鹰行动。</w:t>
            </w:r>
            <w:r>
              <w:rPr>
                <w:sz w:val="24"/>
              </w:rPr>
              <w:t>建立健全中小微企业梯度培育机制，打造创业创新的良好生态，引导企业走“专精特新”发展之路，培育细分行业的隐形冠军企业。引导中小企业开展质量、标准和品牌建设，打造“浙江制造”品牌。支持企业对标一流水平建立质量管理体系，提高质量管理水平。科技型中小企业达到6万家以上，净增“小升规”企业1万家以上，入库培育隐形冠军企业1000家以上，产生隐形冠军企业200家左右。</w:t>
            </w:r>
          </w:p>
        </w:tc>
      </w:tr>
    </w:tbl>
    <w:p>
      <w:pPr>
        <w:spacing w:line="590" w:lineRule="exact"/>
        <w:ind w:firstLine="640" w:firstLineChars="200"/>
        <w:outlineLvl w:val="0"/>
        <w:rPr>
          <w:rFonts w:eastAsia="黑体"/>
          <w:kern w:val="44"/>
          <w:szCs w:val="32"/>
        </w:rPr>
      </w:pPr>
      <w:bookmarkStart w:id="64" w:name="_Hlk58442549"/>
      <w:bookmarkStart w:id="65" w:name="_Toc62539226"/>
      <w:bookmarkStart w:id="66" w:name="_Toc14249"/>
      <w:bookmarkStart w:id="67" w:name="_Toc62751185"/>
      <w:bookmarkStart w:id="68" w:name="_Toc65063860"/>
      <w:r>
        <w:rPr>
          <w:rFonts w:eastAsia="黑体"/>
          <w:kern w:val="44"/>
          <w:szCs w:val="32"/>
        </w:rPr>
        <w:t>四、打造“浙江服务”</w:t>
      </w:r>
      <w:bookmarkEnd w:id="64"/>
      <w:r>
        <w:rPr>
          <w:rFonts w:eastAsia="黑体"/>
          <w:kern w:val="44"/>
          <w:szCs w:val="32"/>
        </w:rPr>
        <w:t>发展高地</w:t>
      </w:r>
      <w:bookmarkEnd w:id="65"/>
      <w:bookmarkEnd w:id="66"/>
      <w:bookmarkEnd w:id="67"/>
      <w:bookmarkEnd w:id="68"/>
    </w:p>
    <w:p>
      <w:pPr>
        <w:spacing w:line="590" w:lineRule="exact"/>
        <w:ind w:firstLine="640" w:firstLineChars="200"/>
        <w:outlineLvl w:val="1"/>
        <w:rPr>
          <w:rFonts w:eastAsia="楷体_GB2312"/>
          <w:bCs/>
          <w:szCs w:val="32"/>
        </w:rPr>
      </w:pPr>
      <w:bookmarkStart w:id="69" w:name="_Hlk58442562"/>
      <w:bookmarkStart w:id="70" w:name="_Toc65063861"/>
      <w:bookmarkStart w:id="71" w:name="_Toc62539227"/>
      <w:bookmarkStart w:id="72" w:name="_Toc62751186"/>
      <w:bookmarkStart w:id="73" w:name="_Toc26814"/>
      <w:r>
        <w:rPr>
          <w:rFonts w:eastAsia="楷体_GB2312"/>
          <w:bCs/>
          <w:szCs w:val="32"/>
        </w:rPr>
        <w:t>（一）扩大“浙江服务”高质量供给</w:t>
      </w:r>
      <w:bookmarkEnd w:id="69"/>
      <w:bookmarkEnd w:id="70"/>
      <w:bookmarkEnd w:id="71"/>
      <w:bookmarkEnd w:id="72"/>
      <w:bookmarkEnd w:id="73"/>
    </w:p>
    <w:p>
      <w:pPr>
        <w:spacing w:line="590" w:lineRule="exact"/>
        <w:ind w:firstLine="643" w:firstLineChars="200"/>
        <w:rPr>
          <w:szCs w:val="32"/>
        </w:rPr>
      </w:pPr>
      <w:r>
        <w:rPr>
          <w:b/>
          <w:bCs/>
          <w:szCs w:val="32"/>
        </w:rPr>
        <w:t>培育服务业优质供给。</w:t>
      </w:r>
      <w:r>
        <w:rPr>
          <w:szCs w:val="32"/>
        </w:rPr>
        <w:t>推动生产性服务业高端化专业化发展，着力提升软件和信息服务、科技服务、现代物流、现代金融、数字贸易等产业影响力，培育壮大检验检测、创意设计等新兴服务业。促进生活性服务业品质化多样化发展，重点在健康服务、休闲旅游、现代商贸、文化服务、教育培训等领域开展顾客满意度评价，加强民生服务行业高品质供给。推进现代服务业集聚示范区整合提升，建设一批现代服务业创新发展区，加快生产性服务业向价值链高端提升，到2025年，打造20个左右具有国际影响力的高能级服务业创新发展区。</w:t>
      </w:r>
    </w:p>
    <w:p>
      <w:pPr>
        <w:spacing w:line="590" w:lineRule="exact"/>
        <w:ind w:firstLine="643" w:firstLineChars="200"/>
        <w:rPr>
          <w:bCs/>
          <w:szCs w:val="32"/>
        </w:rPr>
      </w:pPr>
      <w:r>
        <w:rPr>
          <w:b/>
          <w:bCs/>
          <w:szCs w:val="32"/>
        </w:rPr>
        <w:t>提升数字生活新服务品质。</w:t>
      </w:r>
      <w:r>
        <w:rPr>
          <w:bCs/>
          <w:szCs w:val="32"/>
        </w:rPr>
        <w:t>以推进生活性服务业数字化、加</w:t>
      </w:r>
      <w:r>
        <w:rPr>
          <w:bCs/>
          <w:spacing w:val="4"/>
          <w:szCs w:val="32"/>
        </w:rPr>
        <w:t>强新型基础设施建设、构建现代消费体系为重点，创新推广一批新业态新模式，培育壮大一批重点平台和企业，打造一批重点行业、样板城镇和标杆区域。提高数字生活幸福感，构建数字化多元应用和线上线下融合市场，重点加强无接触购物、在线消费、在线教育、在线医疗等新业态新模式质量管理，全面保障数字经济模式下的“吃、住、行、游、购、娱、医、学、业”质量。</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专栏4-1  服务业高质量发展重点</w:t>
            </w:r>
          </w:p>
          <w:p>
            <w:pPr>
              <w:adjustRightInd w:val="0"/>
              <w:snapToGrid w:val="0"/>
              <w:spacing w:line="360" w:lineRule="exact"/>
              <w:ind w:firstLine="480" w:firstLineChars="200"/>
              <w:rPr>
                <w:bCs/>
                <w:sz w:val="24"/>
              </w:rPr>
            </w:pPr>
            <w:r>
              <w:rPr>
                <w:rFonts w:eastAsia="楷体_GB2312"/>
                <w:bCs/>
                <w:sz w:val="24"/>
              </w:rPr>
              <w:t>建设现代服务业创新发展区。</w:t>
            </w:r>
            <w:r>
              <w:rPr>
                <w:sz w:val="24"/>
              </w:rPr>
              <w:t>高质量建设现代服务业创新发展区，以省级现代服务业集聚示范区整合提升为切入点，</w:t>
            </w:r>
            <w:r>
              <w:rPr>
                <w:bCs/>
                <w:sz w:val="24"/>
              </w:rPr>
              <w:t>以“三个一批”推动服务业布局优化，引导联动协同发展，聚力服务业高端产业，持续推进服务业结构优化和业态升级。到2025年，打造100个左右服务业创新发展区。</w:t>
            </w:r>
          </w:p>
          <w:p>
            <w:pPr>
              <w:adjustRightInd w:val="0"/>
              <w:snapToGrid w:val="0"/>
              <w:spacing w:line="360" w:lineRule="exact"/>
              <w:ind w:firstLine="480" w:firstLineChars="200"/>
              <w:rPr>
                <w:bCs/>
                <w:sz w:val="24"/>
              </w:rPr>
            </w:pPr>
            <w:r>
              <w:rPr>
                <w:rFonts w:eastAsia="楷体_GB2312"/>
                <w:bCs/>
                <w:sz w:val="24"/>
              </w:rPr>
              <w:t>推进建设两业融合试点。</w:t>
            </w:r>
            <w:r>
              <w:rPr>
                <w:bCs/>
                <w:sz w:val="24"/>
              </w:rPr>
              <w:t>围绕浙江重点发展的战略性产业和特色优势产业领域，推进“十大”两业深度融合领域，推进开展省级两业融合试点创建工作，包括试点区域、试点企业两大类，加快探索具有浙江特色的两业融合发展业态模式和路径。</w:t>
            </w:r>
          </w:p>
          <w:p>
            <w:pPr>
              <w:adjustRightInd w:val="0"/>
              <w:snapToGrid w:val="0"/>
              <w:spacing w:line="360" w:lineRule="exact"/>
              <w:ind w:firstLine="480" w:firstLineChars="200"/>
              <w:rPr>
                <w:b/>
                <w:sz w:val="24"/>
              </w:rPr>
            </w:pPr>
            <w:r>
              <w:rPr>
                <w:rFonts w:eastAsia="楷体_GB2312"/>
                <w:bCs/>
                <w:sz w:val="24"/>
              </w:rPr>
              <w:t>推进“数字生活新服务”。</w:t>
            </w:r>
            <w:bookmarkStart w:id="74" w:name="_Hlk64907918"/>
            <w:r>
              <w:rPr>
                <w:bCs/>
                <w:sz w:val="24"/>
              </w:rPr>
              <w:t>推进商圈智慧商务、智慧设施、智慧服务、智慧营销、智慧环境、智慧管理等场景应用创新，打造一批智慧商圈。鼓励服务业企业开展数字化、智慧化改造和升级，运用数字技术全面改造业务流程。聚焦公共服务数字化，通过数字市民中心等形式，提供线上线下全域数字化的服务体验。</w:t>
            </w:r>
            <w:bookmarkEnd w:id="74"/>
          </w:p>
        </w:tc>
      </w:tr>
    </w:tbl>
    <w:p>
      <w:pPr>
        <w:spacing w:line="590" w:lineRule="exact"/>
        <w:ind w:firstLine="640" w:firstLineChars="200"/>
        <w:outlineLvl w:val="1"/>
        <w:rPr>
          <w:rFonts w:eastAsia="楷体_GB2312"/>
          <w:bCs/>
          <w:szCs w:val="32"/>
        </w:rPr>
      </w:pPr>
      <w:bookmarkStart w:id="75" w:name="_Toc65063862"/>
      <w:bookmarkStart w:id="76" w:name="_Toc62751187"/>
      <w:bookmarkStart w:id="77" w:name="_Toc62539228"/>
      <w:bookmarkStart w:id="78" w:name="_Toc14847"/>
      <w:bookmarkStart w:id="79" w:name="_Hlk58442578"/>
      <w:bookmarkStart w:id="80" w:name="_Hlk58442569"/>
      <w:r>
        <w:rPr>
          <w:rFonts w:eastAsia="楷体_GB2312"/>
          <w:bCs/>
          <w:szCs w:val="32"/>
        </w:rPr>
        <w:t>（二）构建高水平服务业标准体系</w:t>
      </w:r>
      <w:bookmarkEnd w:id="75"/>
      <w:bookmarkEnd w:id="76"/>
      <w:bookmarkEnd w:id="77"/>
      <w:bookmarkEnd w:id="78"/>
      <w:bookmarkEnd w:id="79"/>
    </w:p>
    <w:p>
      <w:pPr>
        <w:spacing w:line="590" w:lineRule="exact"/>
        <w:ind w:firstLine="643" w:firstLineChars="200"/>
        <w:rPr>
          <w:szCs w:val="32"/>
        </w:rPr>
      </w:pPr>
      <w:r>
        <w:rPr>
          <w:b/>
          <w:szCs w:val="32"/>
        </w:rPr>
        <w:t>提升现代服务业标准。</w:t>
      </w:r>
      <w:r>
        <w:rPr>
          <w:szCs w:val="32"/>
        </w:rPr>
        <w:t>实施服务标杆引领计划，建成一批国家级综合服务业标准化试点，推行服务与管理国际标准认证。聚焦服务业新业态，率先在平台经济等新兴服务业开展标准研制，积极创建国际、国内一流标准。深化杭州等地开展国家物流标准化试点，积极参与快递电子运单、物流信息、多式联运等重要标准制修订。</w:t>
      </w:r>
    </w:p>
    <w:p>
      <w:pPr>
        <w:spacing w:line="590" w:lineRule="exact"/>
        <w:ind w:firstLine="643" w:firstLineChars="200"/>
        <w:rPr>
          <w:szCs w:val="32"/>
        </w:rPr>
      </w:pPr>
      <w:r>
        <w:rPr>
          <w:b/>
          <w:bCs/>
          <w:szCs w:val="32"/>
        </w:rPr>
        <w:t>健全公共服务浙江标准。</w:t>
      </w:r>
      <w:r>
        <w:rPr>
          <w:szCs w:val="32"/>
        </w:rPr>
        <w:t>围绕提高基本公共服务供给质量和均等化水平目标，制定完善幼儿园、中小学等公共服务单位与设施的建设标准、配置标准和营运标准，落实健康乡镇、健康村、医疗机构建设标准和医院等级评审标准。加强劳动就业、养老保险、医疗保险、社会救助等重点领域服务标准供给，着力构建政府主导、社会协同、成果共享的公共服务标准体系。建立与现代政府治理体系和治理能力相适应的政府服务标准体系，抓好涉及权力运行监督、政府购买服务、行政审批制度改革、权力行使流程等方面标准制定。</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专栏4-2  服务业重点领域标准化建设</w:t>
            </w:r>
          </w:p>
          <w:p>
            <w:pPr>
              <w:adjustRightInd w:val="0"/>
              <w:snapToGrid w:val="0"/>
              <w:spacing w:line="360" w:lineRule="exact"/>
              <w:ind w:firstLine="480" w:firstLineChars="200"/>
              <w:rPr>
                <w:b/>
                <w:sz w:val="24"/>
              </w:rPr>
            </w:pPr>
            <w:r>
              <w:rPr>
                <w:rFonts w:eastAsia="楷体_GB2312"/>
                <w:bCs/>
                <w:sz w:val="24"/>
              </w:rPr>
              <w:t>现代物流。</w:t>
            </w:r>
            <w:r>
              <w:rPr>
                <w:sz w:val="24"/>
              </w:rPr>
              <w:t>以申通、圆通、优速等开展绿色快递标准化试点为基础，组织开展具有浙江特色的绿色快递地方标准制定工作，不断提高快递封装标准化水平。推进国家级和省级示范物流园区托盘标准化、快递绿色包装及标准化试点。</w:t>
            </w:r>
          </w:p>
          <w:p>
            <w:pPr>
              <w:adjustRightInd w:val="0"/>
              <w:snapToGrid w:val="0"/>
              <w:spacing w:line="360" w:lineRule="exact"/>
              <w:ind w:firstLine="480" w:firstLineChars="200"/>
              <w:rPr>
                <w:bCs/>
                <w:sz w:val="24"/>
              </w:rPr>
            </w:pPr>
            <w:r>
              <w:rPr>
                <w:rFonts w:eastAsia="楷体_GB2312"/>
                <w:bCs/>
                <w:sz w:val="24"/>
              </w:rPr>
              <w:t>数字贸易。</w:t>
            </w:r>
            <w:r>
              <w:rPr>
                <w:bCs/>
                <w:sz w:val="24"/>
              </w:rPr>
              <w:t>研究制定数字贸易条例和标准，积极参与数字国际标准和认证体系建设，推动新型贸易领域国际规则建立和输出，提升全球数字贸易治理体系话语权。</w:t>
            </w:r>
          </w:p>
          <w:p>
            <w:pPr>
              <w:adjustRightInd w:val="0"/>
              <w:snapToGrid w:val="0"/>
              <w:spacing w:line="360" w:lineRule="exact"/>
              <w:ind w:firstLine="480" w:firstLineChars="200"/>
              <w:rPr>
                <w:b/>
                <w:sz w:val="24"/>
              </w:rPr>
            </w:pPr>
            <w:r>
              <w:rPr>
                <w:rFonts w:eastAsia="楷体_GB2312"/>
                <w:bCs/>
                <w:sz w:val="24"/>
              </w:rPr>
              <w:t>休闲旅游。</w:t>
            </w:r>
            <w:r>
              <w:rPr>
                <w:bCs/>
                <w:sz w:val="24"/>
              </w:rPr>
              <w:t>构建全域旅游标准体系，以全行业、全领域“+旅游”为指引，复审修订现有地方标准，重点推进乡村旅游、海洋旅游、文化旅游、体育旅游、工业旅游、研学旅游、森林旅游、水利旅游、商务会展旅游、养生养老旅游以及旅游信息技术、公共服务、安全管理等地方标准的制定。</w:t>
            </w:r>
          </w:p>
          <w:p>
            <w:pPr>
              <w:adjustRightInd w:val="0"/>
              <w:snapToGrid w:val="0"/>
              <w:spacing w:line="360" w:lineRule="exact"/>
              <w:ind w:firstLine="480" w:firstLineChars="200"/>
              <w:rPr>
                <w:bCs/>
                <w:sz w:val="24"/>
              </w:rPr>
            </w:pPr>
            <w:r>
              <w:rPr>
                <w:rFonts w:eastAsia="楷体_GB2312"/>
                <w:bCs/>
                <w:sz w:val="24"/>
              </w:rPr>
              <w:t>现代商贸。</w:t>
            </w:r>
            <w:r>
              <w:rPr>
                <w:bCs/>
                <w:sz w:val="24"/>
              </w:rPr>
              <w:t>积极构建标准体系，进一步完善电子商务标准体系，初步构建跨境电商标准体系，推动数字赋能现代化先行、科技创新现代化先行，初步建立数字生活新服务标准体系。</w:t>
            </w:r>
          </w:p>
          <w:p>
            <w:pPr>
              <w:adjustRightInd w:val="0"/>
              <w:snapToGrid w:val="0"/>
              <w:spacing w:line="360" w:lineRule="exact"/>
              <w:ind w:firstLine="480" w:firstLineChars="200"/>
              <w:rPr>
                <w:b/>
                <w:sz w:val="24"/>
              </w:rPr>
            </w:pPr>
            <w:r>
              <w:rPr>
                <w:rFonts w:eastAsia="楷体_GB2312"/>
                <w:bCs/>
                <w:sz w:val="24"/>
              </w:rPr>
              <w:t>健康服务。</w:t>
            </w:r>
            <w:r>
              <w:rPr>
                <w:bCs/>
                <w:sz w:val="24"/>
              </w:rPr>
              <w:t>积极参与国家、行业标准和地方标准制修订工作，围绕健康服务领域，积极推进相关标准的制修订工作，牵头制订浙江省卫生健康地方标准计划项目。梳理形成卫生健康领域国家、行业、地方标准清单并进行动态更新。</w:t>
            </w:r>
          </w:p>
          <w:p>
            <w:pPr>
              <w:adjustRightInd w:val="0"/>
              <w:snapToGrid w:val="0"/>
              <w:spacing w:line="360" w:lineRule="exact"/>
              <w:ind w:firstLine="480" w:firstLineChars="200"/>
              <w:rPr>
                <w:bCs/>
                <w:sz w:val="24"/>
              </w:rPr>
            </w:pPr>
            <w:r>
              <w:rPr>
                <w:rFonts w:eastAsia="楷体_GB2312"/>
                <w:bCs/>
                <w:sz w:val="24"/>
              </w:rPr>
              <w:t>教育培训。</w:t>
            </w:r>
            <w:r>
              <w:rPr>
                <w:bCs/>
                <w:sz w:val="24"/>
              </w:rPr>
              <w:t>完善浙江省中小学教育技术装备标准体系，编制一批技术规范和指导性意见。修订完善幼儿园及中小学建设标准，完善教育评估标准，研制教育现代化监测指标。制定开放教育教学质量规范相关制度文件。</w:t>
            </w:r>
          </w:p>
          <w:p>
            <w:pPr>
              <w:adjustRightInd w:val="0"/>
              <w:snapToGrid w:val="0"/>
              <w:spacing w:line="360" w:lineRule="exact"/>
              <w:ind w:firstLine="480" w:firstLineChars="200"/>
              <w:rPr>
                <w:b/>
                <w:sz w:val="24"/>
              </w:rPr>
            </w:pPr>
            <w:r>
              <w:rPr>
                <w:rFonts w:eastAsia="楷体_GB2312"/>
                <w:bCs/>
                <w:sz w:val="24"/>
              </w:rPr>
              <w:t>政务服务。</w:t>
            </w:r>
            <w:r>
              <w:rPr>
                <w:bCs/>
                <w:sz w:val="24"/>
              </w:rPr>
              <w:t>深化“互联网+政务服务”建设，进一步完善依申请事项办事指南标准，方便企业和群众办事。加快推进机关内部“一件事”集成改革。</w:t>
            </w:r>
          </w:p>
        </w:tc>
      </w:tr>
    </w:tbl>
    <w:p>
      <w:pPr>
        <w:spacing w:line="590" w:lineRule="exact"/>
        <w:ind w:firstLine="640" w:firstLineChars="200"/>
        <w:outlineLvl w:val="1"/>
        <w:rPr>
          <w:rFonts w:eastAsia="楷体_GB2312"/>
          <w:bCs/>
          <w:szCs w:val="32"/>
        </w:rPr>
      </w:pPr>
      <w:bookmarkStart w:id="81" w:name="_Toc29040"/>
      <w:bookmarkStart w:id="82" w:name="_Toc65063863"/>
      <w:bookmarkStart w:id="83" w:name="_Toc62751188"/>
      <w:bookmarkStart w:id="84" w:name="_Toc62539229"/>
      <w:r>
        <w:rPr>
          <w:rFonts w:eastAsia="楷体_GB2312"/>
          <w:bCs/>
          <w:szCs w:val="32"/>
        </w:rPr>
        <w:t>（三）打响“浙江服务”优质品牌</w:t>
      </w:r>
      <w:bookmarkEnd w:id="80"/>
      <w:bookmarkEnd w:id="81"/>
      <w:bookmarkEnd w:id="82"/>
      <w:bookmarkEnd w:id="83"/>
      <w:bookmarkEnd w:id="84"/>
    </w:p>
    <w:p>
      <w:pPr>
        <w:spacing w:line="590" w:lineRule="exact"/>
        <w:ind w:firstLine="643" w:firstLineChars="200"/>
        <w:rPr>
          <w:b/>
          <w:bCs/>
          <w:szCs w:val="32"/>
        </w:rPr>
      </w:pPr>
      <w:r>
        <w:rPr>
          <w:b/>
          <w:szCs w:val="32"/>
        </w:rPr>
        <w:t>擦亮“浙江服务”金名片。</w:t>
      </w:r>
      <w:r>
        <w:rPr>
          <w:szCs w:val="32"/>
        </w:rPr>
        <w:t>在产业基础良好、市场化程度较高、具有鲜明特色的服务行业加强品牌建设，打造具有国际竞争力的“品牌企业-区域品牌-行业品牌”“浙江服务”品牌体系。鼓励企业积极开展“品字标浙江服务”认证，加强商标国际注册、认证和品牌运营，打造国家乃至国际知名品牌。支持地方围绕特色服务业研究建立服务品牌培育和评价标准体系，打造一批具有辨识度和竞争力的区域品牌。聚焦休闲旅游、文化服务、现代物流、数字贸易等特色优势领域，提升国际化高端化服务水平，塑造具有国际影响力的“浙江服务”品牌。</w:t>
      </w:r>
    </w:p>
    <w:p>
      <w:pPr>
        <w:spacing w:line="590" w:lineRule="exact"/>
        <w:ind w:firstLine="643" w:firstLineChars="200"/>
        <w:rPr>
          <w:szCs w:val="32"/>
        </w:rPr>
      </w:pPr>
      <w:r>
        <w:rPr>
          <w:b/>
          <w:bCs/>
          <w:szCs w:val="32"/>
        </w:rPr>
        <w:t>大力引导品质消费。</w:t>
      </w:r>
      <w:r>
        <w:rPr>
          <w:bCs/>
          <w:szCs w:val="32"/>
        </w:rPr>
        <w:t>支持杭州、宁波建设国际消费中心城市，引领全省商贸提升发展整体水平和效率。</w:t>
      </w:r>
      <w:r>
        <w:rPr>
          <w:szCs w:val="32"/>
        </w:rPr>
        <w:t>鼓励有条件的城市打造高品质步行街，引导特色产品和服务集聚发展。积极培育体验经济、创意经济等新经济模式，提升发展网络零售产业，提高新零售平台能级，促进新型消费快速成长。优化放心消费环境，深入推进“放心消费在浙江”行动，打响“浙里来消费”品牌。</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专栏4-3  消费品牌打造重点工作</w:t>
            </w:r>
          </w:p>
          <w:p>
            <w:pPr>
              <w:autoSpaceDE w:val="0"/>
              <w:spacing w:line="340" w:lineRule="exact"/>
              <w:ind w:firstLine="480" w:firstLineChars="200"/>
              <w:rPr>
                <w:bCs/>
                <w:sz w:val="24"/>
              </w:rPr>
            </w:pPr>
            <w:r>
              <w:rPr>
                <w:rFonts w:eastAsia="楷体_GB2312"/>
                <w:bCs/>
                <w:sz w:val="24"/>
              </w:rPr>
              <w:t>深化“放心消费在浙江”行动。</w:t>
            </w:r>
            <w:r>
              <w:rPr>
                <w:bCs/>
                <w:sz w:val="24"/>
              </w:rPr>
              <w:t>围绕与消费者生活密切相关的重点行业、重点领域、重点品种，推进37个放心消费重点县区建设，打造一批具有浙江特色的放心消费街区、商圈、乡村，引领我省全域放心消费建设。</w:t>
            </w:r>
          </w:p>
          <w:p>
            <w:pPr>
              <w:adjustRightInd w:val="0"/>
              <w:snapToGrid w:val="0"/>
              <w:spacing w:line="340" w:lineRule="exact"/>
              <w:ind w:firstLine="480" w:firstLineChars="200"/>
              <w:rPr>
                <w:bCs/>
                <w:sz w:val="24"/>
              </w:rPr>
            </w:pPr>
            <w:r>
              <w:rPr>
                <w:rFonts w:eastAsia="楷体_GB2312"/>
                <w:bCs/>
                <w:sz w:val="24"/>
              </w:rPr>
              <w:t>打响“浙里来消费”品牌。</w:t>
            </w:r>
            <w:r>
              <w:rPr>
                <w:bCs/>
                <w:sz w:val="24"/>
              </w:rPr>
              <w:t>鼓励重点商圈、特色商街、商贸企业、品牌企业等开展联动营销活动。组织办好各年度全国消费月暨浙江金秋购物节，鼓励举办消费嘉年华活动，支持各地开展各类主题促销活动。鼓励各地联合知名电子商务平台开展网上促销活动，提升“浙里来消费”市场活力。支持杭州办好“双十一”全球线上线下购物大狂欢，打造国际消费目的地。</w:t>
            </w:r>
          </w:p>
          <w:p>
            <w:pPr>
              <w:adjustRightInd w:val="0"/>
              <w:snapToGrid w:val="0"/>
              <w:spacing w:line="340" w:lineRule="exact"/>
              <w:ind w:firstLine="480" w:firstLineChars="200"/>
              <w:rPr>
                <w:bCs/>
                <w:sz w:val="24"/>
              </w:rPr>
            </w:pPr>
            <w:r>
              <w:rPr>
                <w:rFonts w:eastAsia="楷体_GB2312"/>
                <w:bCs/>
                <w:sz w:val="24"/>
              </w:rPr>
              <w:t>“四条诗路”文化带。</w:t>
            </w:r>
            <w:r>
              <w:rPr>
                <w:bCs/>
                <w:sz w:val="24"/>
              </w:rPr>
              <w:t>推进大运河文化带和浙东唐诗之路、钱塘江诗路和瓯江山水诗路“四条诗路”建设，将历史、文化、生活、生态有效融合在一起，创建省诗路文化“明珠”100个，打造串联全省诗画山水的黄金旅游带，形成“一文含四带，十地耀百珠”的空间形态。</w:t>
            </w:r>
          </w:p>
          <w:p>
            <w:pPr>
              <w:adjustRightInd w:val="0"/>
              <w:snapToGrid w:val="0"/>
              <w:spacing w:line="340" w:lineRule="exact"/>
              <w:ind w:firstLine="480" w:firstLineChars="200"/>
              <w:rPr>
                <w:bCs/>
                <w:sz w:val="24"/>
              </w:rPr>
            </w:pPr>
            <w:r>
              <w:rPr>
                <w:rFonts w:eastAsia="楷体_GB2312"/>
                <w:bCs/>
                <w:sz w:val="24"/>
              </w:rPr>
              <w:t>“诗画浙江·百县千碗”。</w:t>
            </w:r>
            <w:r>
              <w:rPr>
                <w:bCs/>
                <w:sz w:val="24"/>
              </w:rPr>
              <w:t>打造群众广泛参与、国内知名度高的“诗画浙江·百县千碗”旅游美食品牌，基本形成集原料生产、加工、配送、制作、销售于一体的美食产业体系，美食文化得到传承弘扬和创新发展，旅游美食服务监管机制进一步健全，我省旅游美食产业高水平提升。</w:t>
            </w:r>
          </w:p>
          <w:p>
            <w:pPr>
              <w:adjustRightInd w:val="0"/>
              <w:snapToGrid w:val="0"/>
              <w:spacing w:line="340" w:lineRule="exact"/>
              <w:ind w:firstLine="480" w:firstLineChars="200"/>
              <w:rPr>
                <w:bCs/>
                <w:sz w:val="24"/>
              </w:rPr>
            </w:pPr>
            <w:r>
              <w:rPr>
                <w:rFonts w:eastAsia="楷体_GB2312"/>
                <w:bCs/>
                <w:sz w:val="24"/>
              </w:rPr>
              <w:t>“浙江有礼”。</w:t>
            </w:r>
            <w:r>
              <w:rPr>
                <w:bCs/>
                <w:sz w:val="24"/>
              </w:rPr>
              <w:t>创建一批全国文化和旅游创意产</w:t>
            </w:r>
            <w:r>
              <w:rPr>
                <w:bCs/>
                <w:spacing w:val="-2"/>
                <w:sz w:val="24"/>
              </w:rPr>
              <w:t>品开发示范单位，推出100个浙派文化符号伴手礼，评定1000个星级旅游商品购物点，着力打造“浙江有礼”旅游购物特色品牌体系，努力使旅游购物占</w:t>
            </w:r>
            <w:r>
              <w:rPr>
                <w:bCs/>
                <w:sz w:val="24"/>
              </w:rPr>
              <w:t>旅游总收入超25%。</w:t>
            </w:r>
          </w:p>
          <w:p>
            <w:pPr>
              <w:adjustRightInd w:val="0"/>
              <w:snapToGrid w:val="0"/>
              <w:spacing w:line="360" w:lineRule="exact"/>
              <w:ind w:firstLine="480" w:firstLineChars="200"/>
              <w:rPr>
                <w:b/>
                <w:sz w:val="24"/>
              </w:rPr>
            </w:pPr>
            <w:r>
              <w:rPr>
                <w:rFonts w:eastAsia="楷体_GB2312"/>
                <w:bCs/>
                <w:sz w:val="24"/>
              </w:rPr>
              <w:t>建设高品质步行街。</w:t>
            </w:r>
            <w:r>
              <w:rPr>
                <w:bCs/>
                <w:sz w:val="24"/>
              </w:rPr>
              <w:t>深入推进全省高品质步行街试点培育，支持符合条件的步行街争创国家级高品质步行街，创建一批历史有根、文化有脉、商业有魂、经营有道、品牌有名、数字引领的高品质步行街。注重对街区的数字化改造升级，着力打造智慧街区。支持有条件的村镇打造或改造提升步行街。</w:t>
            </w:r>
          </w:p>
        </w:tc>
      </w:tr>
    </w:tbl>
    <w:p>
      <w:pPr>
        <w:spacing w:line="590" w:lineRule="exact"/>
        <w:ind w:firstLine="640" w:firstLineChars="200"/>
        <w:outlineLvl w:val="0"/>
        <w:rPr>
          <w:rFonts w:eastAsia="黑体"/>
          <w:kern w:val="44"/>
          <w:szCs w:val="32"/>
        </w:rPr>
      </w:pPr>
      <w:bookmarkStart w:id="85" w:name="_Toc62751189"/>
      <w:bookmarkStart w:id="86" w:name="_Toc32624"/>
      <w:bookmarkStart w:id="87" w:name="_Toc65063864"/>
      <w:bookmarkStart w:id="88" w:name="_Toc62539230"/>
      <w:bookmarkStart w:id="89" w:name="_Toc59012707"/>
      <w:bookmarkStart w:id="90" w:name="_Hlk58442850"/>
      <w:bookmarkStart w:id="91" w:name="_Toc58874039"/>
      <w:bookmarkStart w:id="92" w:name="_Toc19830"/>
      <w:r>
        <w:rPr>
          <w:rFonts w:eastAsia="黑体"/>
          <w:kern w:val="44"/>
          <w:szCs w:val="32"/>
        </w:rPr>
        <w:t>五、铸就“浙江工程”卓越品质</w:t>
      </w:r>
      <w:bookmarkEnd w:id="85"/>
      <w:bookmarkEnd w:id="86"/>
      <w:bookmarkEnd w:id="87"/>
      <w:bookmarkEnd w:id="88"/>
    </w:p>
    <w:p>
      <w:pPr>
        <w:spacing w:line="590" w:lineRule="exact"/>
        <w:ind w:firstLine="640" w:firstLineChars="200"/>
        <w:outlineLvl w:val="1"/>
        <w:rPr>
          <w:rFonts w:eastAsia="楷体_GB2312"/>
          <w:bCs/>
          <w:szCs w:val="32"/>
        </w:rPr>
      </w:pPr>
      <w:bookmarkStart w:id="93" w:name="_Toc22185"/>
      <w:bookmarkStart w:id="94" w:name="_Toc65063865"/>
      <w:bookmarkStart w:id="95" w:name="_Toc62751190"/>
      <w:bookmarkStart w:id="96" w:name="_Toc62539231"/>
      <w:r>
        <w:rPr>
          <w:rFonts w:eastAsia="楷体_GB2312"/>
          <w:bCs/>
          <w:szCs w:val="32"/>
        </w:rPr>
        <w:t>（一）推进“浙江工程”高品质建造</w:t>
      </w:r>
      <w:bookmarkEnd w:id="93"/>
      <w:bookmarkEnd w:id="94"/>
      <w:bookmarkEnd w:id="95"/>
      <w:bookmarkEnd w:id="96"/>
    </w:p>
    <w:p>
      <w:pPr>
        <w:spacing w:line="590" w:lineRule="exact"/>
        <w:ind w:firstLine="643" w:firstLineChars="200"/>
        <w:rPr>
          <w:rFonts w:eastAsia="宋体"/>
          <w:szCs w:val="32"/>
        </w:rPr>
      </w:pPr>
      <w:r>
        <w:rPr>
          <w:b/>
          <w:bCs/>
          <w:szCs w:val="32"/>
        </w:rPr>
        <w:t>全面推行绿色和装配式建筑。</w:t>
      </w:r>
      <w:r>
        <w:rPr>
          <w:szCs w:val="32"/>
        </w:rPr>
        <w:t>加快推进绿色建筑创建行动，规范绿色建筑标识管理，大力发展高星级绿色建筑。推动绿色建筑与建材协同发展，完善绿色建材产品标准和认证评价体系，提升绿色建材质量，加强绿色建材运用。</w:t>
      </w:r>
      <w:r>
        <w:rPr>
          <w:bCs/>
          <w:szCs w:val="32"/>
        </w:rPr>
        <w:t>积极推广钢结构装配式建筑，</w:t>
      </w:r>
      <w:r>
        <w:rPr>
          <w:szCs w:val="32"/>
        </w:rPr>
        <w:t>全面推行钢结构装配式住宅试点工作，加快装配式混凝土建筑和钢结构建筑融合发展，创新精益化、智能化生产施工组织方式，全面提升工程质量性能和品质。</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专栏5-1  绿色建造和可装配式建造推进行动</w:t>
            </w:r>
          </w:p>
          <w:p>
            <w:pPr>
              <w:adjustRightInd w:val="0"/>
              <w:snapToGrid w:val="0"/>
              <w:spacing w:line="340" w:lineRule="exact"/>
              <w:ind w:firstLine="480" w:firstLineChars="200"/>
              <w:rPr>
                <w:sz w:val="24"/>
              </w:rPr>
            </w:pPr>
            <w:r>
              <w:rPr>
                <w:rFonts w:eastAsia="楷体_GB2312"/>
                <w:bCs/>
                <w:sz w:val="24"/>
              </w:rPr>
              <w:t>绿色建造推进行动。</w:t>
            </w:r>
            <w:r>
              <w:rPr>
                <w:sz w:val="24"/>
              </w:rPr>
              <w:t>大力发展高星级的绿色建筑，新建民营建筑全面执行绿色建筑标准要求，提高大型公共建筑和政府投资公益性建筑的绿色建筑标准要求，到2025年，城镇绿色建筑占新建民用建筑比例达100%。稳步推行绿色建材产品标准和认证评价体系，加强绿色建筑评价标识项目质量事中事后监管，构建贯通绿色建筑和绿色建材的全产业链。严格执行民用建筑可再生能源应用核算标准，大力推进可再生能源建筑一体化应用。加快推进设区市公共建筑能耗监管平台建设，形成省市平台互联互通的建筑能耗监管体系。</w:t>
            </w:r>
          </w:p>
          <w:p>
            <w:pPr>
              <w:adjustRightInd w:val="0"/>
              <w:snapToGrid w:val="0"/>
              <w:spacing w:line="340" w:lineRule="exact"/>
              <w:ind w:firstLine="480" w:firstLineChars="200"/>
              <w:rPr>
                <w:b/>
                <w:sz w:val="24"/>
              </w:rPr>
            </w:pPr>
            <w:r>
              <w:rPr>
                <w:rFonts w:eastAsia="楷体_GB2312"/>
                <w:bCs/>
                <w:sz w:val="24"/>
              </w:rPr>
              <w:t>装配式建造推进行动。</w:t>
            </w:r>
            <w:r>
              <w:rPr>
                <w:sz w:val="24"/>
              </w:rPr>
              <w:t>全面执行《装配式建筑评价标准》，发布一批成熟的装配式建造技术及工艺工法，研究适合装配式建造的施工组织方案，提升装配式建造水平。探索建立部品构件质量管理机制，保证装配式建筑源头质量。以全国装配式钢结构住宅试点省建设为契机，大力推进钢结构装配式住宅试点，加大钢结构在高层住宅、农房建设、危旧房改造等领域推广应用。政府投资的新建公共建筑以及市政桥梁、轨道交通、交通枢纽等市政设施建设项目优先采用钢结构。在防灾减灾领域和临时建筑中推广使用模块化钢结构建筑。到2025年，装配式建筑占新建建筑比例达35%，钢结构装配式建筑占新建建筑比例达40%。</w:t>
            </w:r>
          </w:p>
        </w:tc>
      </w:tr>
    </w:tbl>
    <w:p>
      <w:pPr>
        <w:autoSpaceDE w:val="0"/>
        <w:autoSpaceDN w:val="0"/>
        <w:adjustRightInd w:val="0"/>
        <w:spacing w:line="590" w:lineRule="exact"/>
        <w:ind w:firstLine="643" w:firstLineChars="200"/>
        <w:rPr>
          <w:szCs w:val="32"/>
        </w:rPr>
      </w:pPr>
      <w:r>
        <w:rPr>
          <w:b/>
          <w:bCs/>
          <w:szCs w:val="32"/>
        </w:rPr>
        <w:t>提升质量安全管控能力。</w:t>
      </w:r>
      <w:r>
        <w:rPr>
          <w:szCs w:val="32"/>
        </w:rPr>
        <w:t>全面推行建筑工程质量安全标准化施工，落实工程质量安全手册制度，建立全省一体化工程建设数字化管理系统，以数字赋能提升推进工程质量管理、质量行为和实体质量控制标准化。探索实施工程担保和质量保险制度，推行工程质量分析报告制度，探索建立区域工程质量评估制度。加快构建以信用管理为核心的新型建筑市场监管机制，推进住宅工程质量常见问题专项治理和示范工程创建活动，强化工程质量终身责任落实。</w:t>
      </w:r>
    </w:p>
    <w:p>
      <w:pPr>
        <w:spacing w:line="590" w:lineRule="exact"/>
        <w:ind w:firstLine="640" w:firstLineChars="200"/>
        <w:outlineLvl w:val="1"/>
        <w:rPr>
          <w:rFonts w:eastAsia="楷体_GB2312"/>
          <w:bCs/>
          <w:szCs w:val="32"/>
        </w:rPr>
      </w:pPr>
      <w:bookmarkStart w:id="97" w:name="_Toc65063866"/>
      <w:bookmarkStart w:id="98" w:name="_Toc62539232"/>
      <w:bookmarkStart w:id="99" w:name="_Toc12990"/>
      <w:bookmarkStart w:id="100" w:name="_Toc62751191"/>
      <w:r>
        <w:rPr>
          <w:rFonts w:eastAsia="楷体_GB2312"/>
          <w:bCs/>
          <w:szCs w:val="32"/>
        </w:rPr>
        <w:t>（二）强化“浙江工程”高标准引领</w:t>
      </w:r>
      <w:bookmarkEnd w:id="97"/>
      <w:bookmarkEnd w:id="98"/>
      <w:bookmarkEnd w:id="99"/>
      <w:bookmarkEnd w:id="100"/>
    </w:p>
    <w:p>
      <w:pPr>
        <w:spacing w:line="590" w:lineRule="exact"/>
        <w:ind w:firstLine="643" w:firstLineChars="200"/>
        <w:rPr>
          <w:szCs w:val="32"/>
        </w:rPr>
      </w:pPr>
      <w:r>
        <w:rPr>
          <w:b/>
          <w:szCs w:val="32"/>
        </w:rPr>
        <w:t>加强产业化标准体系建设。</w:t>
      </w:r>
      <w:r>
        <w:rPr>
          <w:bCs/>
          <w:szCs w:val="32"/>
        </w:rPr>
        <w:t>加快绿色建筑、装配式建筑、钢结构等重点领域的标准制定，</w:t>
      </w:r>
      <w:r>
        <w:rPr>
          <w:szCs w:val="32"/>
        </w:rPr>
        <w:t>推动建筑部品、住宅部品、构配件系列化、标准化、通用化。</w:t>
      </w:r>
      <w:r>
        <w:rPr>
          <w:bCs/>
          <w:szCs w:val="32"/>
        </w:rPr>
        <w:t>精简整合相关地方性标准，鼓励和支持有条件的社会团体和企业制定先进的团体标准和企业标准。深化重点领域国内外标准比对，加快适应国际标准通行规则，推动先进标准转化和推广应用。</w:t>
      </w:r>
    </w:p>
    <w:p>
      <w:pPr>
        <w:spacing w:line="590" w:lineRule="exact"/>
        <w:ind w:firstLine="643" w:firstLineChars="200"/>
        <w:rPr>
          <w:bCs/>
          <w:szCs w:val="32"/>
        </w:rPr>
      </w:pPr>
      <w:r>
        <w:rPr>
          <w:b/>
          <w:szCs w:val="32"/>
        </w:rPr>
        <w:t>提升工程标准研制能力。</w:t>
      </w:r>
      <w:r>
        <w:rPr>
          <w:bCs/>
          <w:szCs w:val="32"/>
        </w:rPr>
        <w:t>鼓励企业加大标准化科研投入力度，支持申请高新技术企业、企业技术中心认定，提升先进技术标准研制能力。推进建设浙江工程云，推进建筑信息模型（BIM）和大数据、云计算、物联网、人工智能等新一代信息技术在工程质量安全监管以及建筑设计、施工、运营维护全过程的集成应用，率先研制和推行一批建筑业信息化技术标准。鼓励企业确立适合建筑产业现代化的技术、产品和装配施工标准，提升标准化建造水平。</w:t>
      </w:r>
    </w:p>
    <w:p>
      <w:pPr>
        <w:spacing w:line="590" w:lineRule="exact"/>
        <w:ind w:firstLine="640" w:firstLineChars="200"/>
        <w:outlineLvl w:val="1"/>
        <w:rPr>
          <w:rFonts w:eastAsia="楷体_GB2312"/>
          <w:bCs/>
          <w:szCs w:val="32"/>
        </w:rPr>
      </w:pPr>
      <w:bookmarkStart w:id="101" w:name="_Toc2288"/>
      <w:bookmarkStart w:id="102" w:name="_Toc62539233"/>
      <w:bookmarkStart w:id="103" w:name="_Toc62751192"/>
      <w:bookmarkStart w:id="104" w:name="_Toc65063867"/>
      <w:r>
        <w:rPr>
          <w:rFonts w:eastAsia="楷体_GB2312"/>
          <w:bCs/>
          <w:szCs w:val="32"/>
        </w:rPr>
        <w:t>（三）提升“浙江工程”品牌价值</w:t>
      </w:r>
      <w:bookmarkEnd w:id="101"/>
      <w:bookmarkEnd w:id="102"/>
      <w:bookmarkEnd w:id="103"/>
      <w:bookmarkEnd w:id="104"/>
    </w:p>
    <w:p>
      <w:pPr>
        <w:tabs>
          <w:tab w:val="left" w:pos="2552"/>
        </w:tabs>
        <w:spacing w:line="590" w:lineRule="exact"/>
        <w:ind w:firstLine="643" w:firstLineChars="200"/>
        <w:rPr>
          <w:b/>
          <w:bCs/>
          <w:szCs w:val="32"/>
        </w:rPr>
      </w:pPr>
      <w:r>
        <w:rPr>
          <w:b/>
          <w:bCs/>
          <w:szCs w:val="32"/>
        </w:rPr>
        <w:t>打造品牌优质工程。</w:t>
      </w:r>
      <w:r>
        <w:rPr>
          <w:bCs/>
          <w:szCs w:val="32"/>
        </w:rPr>
        <w:t>健全优质优价、差异化管理等工程质量激励机制，持续推进建筑工程创优活动，鼓励企业争创鲁班奖、国家优质工程奖、土木工程詹天佑奖、钱江杯等国家和省级奖项，到2025年，浙江省建设工程钱江杯奖（优质工程）达到750项。以“平安百年品质工程”为目标，深入开展交通建设工程品质攻关专项行动，围绕施工安全标准化、桥梁预制构件质量提升、隧道施工质量安全管控能力提升、工程质量安全技术“微创新”等方面推进交通工程提质升级。推动水利工程建设新技术、新工艺、新装备、新材料的推广应用，不断提高水利工程施工、监理、检测技术水平，积极争创大禹奖。</w:t>
      </w:r>
    </w:p>
    <w:p>
      <w:pPr>
        <w:tabs>
          <w:tab w:val="left" w:pos="2552"/>
        </w:tabs>
        <w:spacing w:line="590" w:lineRule="exact"/>
        <w:ind w:firstLine="643" w:firstLineChars="200"/>
        <w:rPr>
          <w:szCs w:val="32"/>
        </w:rPr>
      </w:pPr>
      <w:r>
        <w:rPr>
          <w:b/>
          <w:szCs w:val="32"/>
        </w:rPr>
        <w:t>提升浙江工程影响力。</w:t>
      </w:r>
      <w:r>
        <w:rPr>
          <w:szCs w:val="32"/>
        </w:rPr>
        <w:t>大力实施走出去战略，制定实施浙江省建筑业“走出去”三年行动计划，促进国际工程施工业务可持续发展。加强长三角建筑市场一体化合作，积极巩固扩大国内重点区域市场份额，强化浙江建筑品牌。支持引进国际先进的技术装备和管理经验，并购国内外先进建筑产业企业，按照统一标准整合国内外相关要素资源，带动省内大型成套设备、建材、国际物流等建筑相关产业发展。</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专栏5-2  建筑市场开拓重点</w:t>
            </w:r>
          </w:p>
          <w:p>
            <w:pPr>
              <w:adjustRightInd w:val="0"/>
              <w:snapToGrid w:val="0"/>
              <w:spacing w:line="360" w:lineRule="exact"/>
              <w:ind w:firstLine="480" w:firstLineChars="200"/>
              <w:rPr>
                <w:sz w:val="24"/>
              </w:rPr>
            </w:pPr>
            <w:r>
              <w:rPr>
                <w:rFonts w:eastAsia="楷体_GB2312"/>
                <w:bCs/>
                <w:sz w:val="24"/>
              </w:rPr>
              <w:t>发挥长三角一体化优势。</w:t>
            </w:r>
            <w:r>
              <w:rPr>
                <w:sz w:val="24"/>
              </w:rPr>
              <w:t>加强与上海、江苏、安徽三省一市建筑业合作，全面落实《长三角区域建筑业一体化高质量发展战略协作框架协议》，互认地方审批的企业资质、人员注册资格和各类岗位证书，全面推行“一网通办”和电子证照，加快实现长三角建筑业一体化。</w:t>
            </w:r>
          </w:p>
          <w:p>
            <w:pPr>
              <w:adjustRightInd w:val="0"/>
              <w:snapToGrid w:val="0"/>
              <w:spacing w:line="360" w:lineRule="exact"/>
              <w:ind w:firstLine="480" w:firstLineChars="200"/>
              <w:rPr>
                <w:sz w:val="24"/>
              </w:rPr>
            </w:pPr>
            <w:r>
              <w:rPr>
                <w:rFonts w:eastAsia="楷体_GB2312"/>
                <w:bCs/>
                <w:sz w:val="24"/>
              </w:rPr>
              <w:t>巩固和扩大省外市场份额。</w:t>
            </w:r>
            <w:r>
              <w:rPr>
                <w:sz w:val="24"/>
              </w:rPr>
              <w:t>利用好国内大循环市场新格局，鼓励企业以品牌拓市场，投资占市场，合资扩市场，全面参与珠三角、京津冀、中部崛起、西部大开发和东北振兴的建设，重点巩固、拓展固定资产投资规模较大、经济发展基础较好的省市建筑市场。到2025年，省外完成产值占全省建筑业总产值比例45%。</w:t>
            </w:r>
          </w:p>
          <w:p>
            <w:pPr>
              <w:spacing w:line="360" w:lineRule="exact"/>
              <w:ind w:firstLine="480" w:firstLineChars="200"/>
              <w:rPr>
                <w:b/>
                <w:sz w:val="24"/>
              </w:rPr>
            </w:pPr>
            <w:r>
              <w:rPr>
                <w:rFonts w:eastAsia="楷体_GB2312"/>
                <w:bCs/>
                <w:sz w:val="24"/>
              </w:rPr>
              <w:t>提升国际市场竞争能力。</w:t>
            </w:r>
            <w:r>
              <w:rPr>
                <w:sz w:val="24"/>
              </w:rPr>
              <w:t>发挥建筑业在国内国际双循环中的独特优势，紧抓“一带一路”、RCEP、中欧绿色经贸合作机制等国家重大发展战略机遇，巩固北非、西北亚、西亚等传统国际区域市场和行业市场，不断开拓发达国家区域市场，以及高技术含量、高附加值、高利润的行业市场，促进国际工程施工业务可持续发展。到2025年，对外承包工程营业额120亿美元。</w:t>
            </w:r>
          </w:p>
        </w:tc>
      </w:tr>
    </w:tbl>
    <w:p>
      <w:pPr>
        <w:spacing w:line="590" w:lineRule="exact"/>
        <w:ind w:firstLine="640" w:firstLineChars="200"/>
        <w:outlineLvl w:val="0"/>
        <w:rPr>
          <w:rFonts w:eastAsia="黑体"/>
          <w:kern w:val="44"/>
          <w:szCs w:val="32"/>
        </w:rPr>
      </w:pPr>
      <w:bookmarkStart w:id="105" w:name="_Toc62539234"/>
      <w:bookmarkStart w:id="106" w:name="_Toc65063868"/>
      <w:bookmarkStart w:id="107" w:name="_Toc62751193"/>
      <w:bookmarkStart w:id="108" w:name="_Toc22523"/>
      <w:r>
        <w:rPr>
          <w:rFonts w:eastAsia="黑体"/>
          <w:kern w:val="44"/>
          <w:szCs w:val="32"/>
        </w:rPr>
        <w:t>六、树立“浙江环境”最美标杆</w:t>
      </w:r>
      <w:bookmarkEnd w:id="105"/>
      <w:bookmarkEnd w:id="106"/>
      <w:bookmarkEnd w:id="107"/>
      <w:bookmarkEnd w:id="108"/>
    </w:p>
    <w:p>
      <w:pPr>
        <w:spacing w:line="590" w:lineRule="exact"/>
        <w:ind w:firstLine="640" w:firstLineChars="200"/>
        <w:outlineLvl w:val="1"/>
        <w:rPr>
          <w:rFonts w:eastAsia="楷体_GB2312"/>
          <w:bCs/>
          <w:szCs w:val="32"/>
        </w:rPr>
      </w:pPr>
      <w:bookmarkStart w:id="109" w:name="_Toc804"/>
      <w:bookmarkStart w:id="110" w:name="_Toc62751194"/>
      <w:bookmarkStart w:id="111" w:name="_Toc62539235"/>
      <w:bookmarkStart w:id="112" w:name="_Toc65063869"/>
      <w:r>
        <w:rPr>
          <w:rFonts w:eastAsia="楷体_GB2312"/>
          <w:bCs/>
          <w:szCs w:val="32"/>
        </w:rPr>
        <w:t>（一）提升优质生态供给能力</w:t>
      </w:r>
      <w:bookmarkEnd w:id="109"/>
      <w:bookmarkEnd w:id="110"/>
      <w:bookmarkEnd w:id="111"/>
      <w:bookmarkEnd w:id="112"/>
    </w:p>
    <w:p>
      <w:pPr>
        <w:spacing w:line="590" w:lineRule="exact"/>
        <w:ind w:firstLine="643" w:firstLineChars="200"/>
        <w:rPr>
          <w:bCs/>
          <w:szCs w:val="32"/>
        </w:rPr>
      </w:pPr>
      <w:r>
        <w:rPr>
          <w:b/>
          <w:bCs/>
          <w:szCs w:val="32"/>
        </w:rPr>
        <w:t>持续改善生态环境质量。</w:t>
      </w:r>
      <w:r>
        <w:rPr>
          <w:szCs w:val="32"/>
        </w:rPr>
        <w:t>建立健全“三线一单”生态环境分区管控体系，推动生态环境高水平保护</w:t>
      </w:r>
      <w:r>
        <w:rPr>
          <w:bCs/>
          <w:szCs w:val="32"/>
        </w:rPr>
        <w:t>。实施全要素环境质量提升工程，全力打好生态环境巩固提升持久战，让天更蓝、水更清、地更绿。统筹推进山水林田湖草生态系统保护与修复，实施生物多样性监测调查评估和保护，持续增加优质生态产品供给。实施海岸线保护与整治修复行动，加快“蓝色海湾”建设，陆海一体改善海洋生态环境质量。</w:t>
      </w:r>
    </w:p>
    <w:p>
      <w:pPr>
        <w:spacing w:line="590" w:lineRule="exact"/>
        <w:ind w:firstLine="643" w:firstLineChars="200"/>
        <w:rPr>
          <w:bCs/>
          <w:szCs w:val="32"/>
        </w:rPr>
      </w:pPr>
      <w:r>
        <w:rPr>
          <w:b/>
          <w:bCs/>
          <w:szCs w:val="32"/>
        </w:rPr>
        <w:t>健全环境质量治理体系。</w:t>
      </w:r>
      <w:r>
        <w:rPr>
          <w:bCs/>
          <w:szCs w:val="32"/>
        </w:rPr>
        <w:t>严格落实生态环境保护党政主体责任、部门监管责任，构建以改善环境治理为核心的目标责任体系。深入推进环境治理领域“最多跑一次”改革，逐步扩大“区域环评+环境标准”改革覆盖面。建立健全环境污染问题发现机制，构建以环境信用评级为基础的分级分类差别化监管模式。积极探索环境治理、绿色生产和消费、海洋生态环境保护等领域的地方立法，加快制修订符合新时代生态文明建设要求的地方性法规规章。</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center"/>
          </w:tcPr>
          <w:p>
            <w:pPr>
              <w:spacing w:before="240" w:beforeLines="100" w:after="240" w:afterLines="100" w:line="360" w:lineRule="exact"/>
              <w:jc w:val="center"/>
              <w:rPr>
                <w:rFonts w:eastAsia="黑体"/>
                <w:bCs/>
                <w:sz w:val="28"/>
              </w:rPr>
            </w:pPr>
            <w:r>
              <w:rPr>
                <w:rFonts w:eastAsia="黑体"/>
                <w:bCs/>
                <w:sz w:val="28"/>
              </w:rPr>
              <w:t>专栏6-1  全要素环境质量提升工程</w:t>
            </w:r>
          </w:p>
          <w:p>
            <w:pPr>
              <w:adjustRightInd w:val="0"/>
              <w:snapToGrid w:val="0"/>
              <w:spacing w:line="350" w:lineRule="exact"/>
              <w:ind w:firstLine="480" w:firstLineChars="200"/>
              <w:rPr>
                <w:bCs/>
                <w:sz w:val="24"/>
              </w:rPr>
            </w:pPr>
            <w:r>
              <w:rPr>
                <w:rFonts w:eastAsia="楷体_GB2312"/>
                <w:bCs/>
                <w:sz w:val="24"/>
              </w:rPr>
              <w:t>全面推进清新空气行动。</w:t>
            </w:r>
            <w:r>
              <w:rPr>
                <w:bCs/>
                <w:sz w:val="24"/>
              </w:rPr>
              <w:t>开展全省清新空气示范区建设，到2025年，85%的县级以上城市建成清新空气示范区。实施PM</w:t>
            </w:r>
            <w:r>
              <w:rPr>
                <w:bCs/>
                <w:sz w:val="24"/>
                <w:vertAlign w:val="subscript"/>
              </w:rPr>
              <w:t>2.5</w:t>
            </w:r>
            <w:r>
              <w:rPr>
                <w:bCs/>
                <w:sz w:val="24"/>
              </w:rPr>
              <w:t>和臭氧“双控双减”，推进挥发性有机物和氮氧化物协同治理，加强无组织排放控制，实现设区城市空气质量优良天数比率达到93%以上。开展钢铁、水泥、玻璃等重点行业超低排放改造，实施燃煤热电联产行业综合改造升级。加快风电、核电等清洁能源设施建设，提升天然气使用比例。</w:t>
            </w:r>
          </w:p>
          <w:p>
            <w:pPr>
              <w:adjustRightInd w:val="0"/>
              <w:snapToGrid w:val="0"/>
              <w:spacing w:line="350" w:lineRule="exact"/>
              <w:ind w:firstLine="480" w:firstLineChars="200"/>
              <w:rPr>
                <w:bCs/>
                <w:sz w:val="24"/>
              </w:rPr>
            </w:pPr>
            <w:r>
              <w:rPr>
                <w:rFonts w:eastAsia="楷体_GB2312"/>
                <w:bCs/>
                <w:sz w:val="24"/>
              </w:rPr>
              <w:t>深化“五水共治”碧水行动。</w:t>
            </w:r>
            <w:r>
              <w:rPr>
                <w:bCs/>
                <w:sz w:val="24"/>
              </w:rPr>
              <w:t>巩固提升“五水共治”成果，实现管网全覆盖、污水全收集、处理全达标、饮水全保障、河湖全美丽。严格执行水资源开发利用控制红线。深入推进生活小区、镇（街道）、工业园区（集聚区）、内河船舶“污水零直排区”建设。建立跨界河湖水环境联防联控机制，地表水省控断面达到或优于</w:t>
            </w:r>
            <w:r>
              <w:rPr>
                <w:rFonts w:ascii="宋体" w:eastAsia="宋体"/>
                <w:bCs/>
                <w:sz w:val="24"/>
              </w:rPr>
              <w:t>Ⅲ</w:t>
            </w:r>
            <w:r>
              <w:rPr>
                <w:bCs/>
                <w:sz w:val="24"/>
              </w:rPr>
              <w:t>类水质比例达95%以上。</w:t>
            </w:r>
          </w:p>
          <w:p>
            <w:pPr>
              <w:adjustRightInd w:val="0"/>
              <w:snapToGrid w:val="0"/>
              <w:spacing w:line="350" w:lineRule="exact"/>
              <w:ind w:firstLine="480" w:firstLineChars="200"/>
              <w:rPr>
                <w:bCs/>
                <w:sz w:val="24"/>
              </w:rPr>
            </w:pPr>
            <w:r>
              <w:rPr>
                <w:rFonts w:eastAsia="楷体_GB2312"/>
                <w:bCs/>
                <w:sz w:val="24"/>
              </w:rPr>
              <w:t>全面推进净土行动。</w:t>
            </w:r>
            <w:r>
              <w:rPr>
                <w:bCs/>
                <w:sz w:val="24"/>
              </w:rPr>
              <w:t>建立土壤环境源头预防、过程阻断、治理修复全过程风险管控体系，提高土壤污染防治监管能力。以影响农产品质量和人居环境安全的突出土壤污染问题为重点，因地制宜开展污染地块治理修复示范，以受污染农用地集中分布区域为重点，实施农用地分类保护和治理。</w:t>
            </w:r>
          </w:p>
          <w:p>
            <w:pPr>
              <w:adjustRightInd w:val="0"/>
              <w:snapToGrid w:val="0"/>
              <w:spacing w:line="350" w:lineRule="exact"/>
              <w:ind w:firstLine="480" w:firstLineChars="200"/>
              <w:rPr>
                <w:b/>
                <w:sz w:val="24"/>
              </w:rPr>
            </w:pPr>
            <w:r>
              <w:rPr>
                <w:rFonts w:eastAsia="楷体_GB2312"/>
                <w:bCs/>
                <w:sz w:val="24"/>
              </w:rPr>
              <w:t>全域建设“无废城市”。</w:t>
            </w:r>
            <w:r>
              <w:rPr>
                <w:bCs/>
                <w:sz w:val="24"/>
              </w:rPr>
              <w:t>启动全域“无废城市”建设，争取到2025年所有设区城市及60%的县（市、区）完成“无废城市”建设。建立固体废物分类收集网络。建设“垃圾分类+资源回收”两网环卫设施。开展固体废物处置和综合利用设施建设，实现处置能力与固废产生量相匹配。</w:t>
            </w:r>
          </w:p>
        </w:tc>
      </w:tr>
    </w:tbl>
    <w:p>
      <w:pPr>
        <w:spacing w:line="590" w:lineRule="exact"/>
        <w:ind w:firstLine="640" w:firstLineChars="200"/>
        <w:outlineLvl w:val="1"/>
        <w:rPr>
          <w:rFonts w:eastAsia="楷体_GB2312"/>
          <w:bCs/>
          <w:szCs w:val="32"/>
        </w:rPr>
      </w:pPr>
      <w:bookmarkStart w:id="113" w:name="_Toc20792"/>
      <w:bookmarkStart w:id="114" w:name="_Toc62539236"/>
      <w:bookmarkStart w:id="115" w:name="_Toc65063870"/>
      <w:bookmarkStart w:id="116" w:name="_Toc62751195"/>
      <w:r>
        <w:rPr>
          <w:rFonts w:eastAsia="楷体_GB2312"/>
          <w:bCs/>
          <w:szCs w:val="32"/>
        </w:rPr>
        <w:t>（二）健全生态环境标准体系</w:t>
      </w:r>
      <w:bookmarkEnd w:id="113"/>
      <w:bookmarkEnd w:id="114"/>
      <w:bookmarkEnd w:id="115"/>
      <w:bookmarkEnd w:id="116"/>
    </w:p>
    <w:p>
      <w:pPr>
        <w:spacing w:line="590" w:lineRule="exact"/>
        <w:ind w:firstLine="640" w:firstLineChars="200"/>
        <w:rPr>
          <w:szCs w:val="32"/>
        </w:rPr>
      </w:pPr>
      <w:r>
        <w:rPr>
          <w:szCs w:val="32"/>
        </w:rPr>
        <w:t>有</w:t>
      </w:r>
      <w:r>
        <w:rPr>
          <w:bCs/>
          <w:szCs w:val="32"/>
        </w:rPr>
        <w:t>序开展美丽浙江建设指南、垃圾分类处置、绿色制造等相关标准研究和发布，</w:t>
      </w:r>
      <w:r>
        <w:rPr>
          <w:bCs/>
          <w:kern w:val="0"/>
          <w:szCs w:val="32"/>
        </w:rPr>
        <w:t>探索制定“两山”转化的国家标准</w:t>
      </w:r>
      <w:r>
        <w:rPr>
          <w:bCs/>
          <w:szCs w:val="32"/>
        </w:rPr>
        <w:t>。加快农村生活污水等领域排放标准的制（修）订。总结提炼各地环境治理领域标准化建设成果，形成一批可复制可推广的地方标准。做好生态环境保护规划、环</w:t>
      </w:r>
      <w:r>
        <w:rPr>
          <w:szCs w:val="32"/>
        </w:rPr>
        <w:t>境保护标准与产业政策的衔接配套，健全标准实施信息反馈和评估机制。推进绿色制造相关产品标准制修订，鼓励开展各类涉及环境治理的绿色认证制度。健全节能标准体系，围绕重点行业，制定一批高质量发展能效引领标准，加快完善用能权使用和交易基础标准体系。</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center"/>
          </w:tcPr>
          <w:p>
            <w:pPr>
              <w:spacing w:before="240" w:beforeLines="100" w:after="240" w:afterLines="100" w:line="360" w:lineRule="exact"/>
              <w:jc w:val="center"/>
              <w:rPr>
                <w:rFonts w:eastAsia="黑体"/>
                <w:bCs/>
                <w:sz w:val="28"/>
              </w:rPr>
            </w:pPr>
            <w:r>
              <w:rPr>
                <w:rFonts w:eastAsia="黑体"/>
                <w:bCs/>
                <w:sz w:val="28"/>
              </w:rPr>
              <w:t>专栏6-2</w:t>
            </w:r>
            <w:r>
              <w:rPr>
                <w:rFonts w:hint="eastAsia" w:eastAsia="黑体"/>
                <w:bCs/>
                <w:sz w:val="28"/>
              </w:rPr>
              <w:t xml:space="preserve"> </w:t>
            </w:r>
            <w:r>
              <w:rPr>
                <w:rFonts w:eastAsia="黑体"/>
                <w:bCs/>
                <w:sz w:val="28"/>
              </w:rPr>
              <w:t xml:space="preserve"> “十四五”浙江生态环境标准制（修）订重点项目</w:t>
            </w:r>
          </w:p>
          <w:p>
            <w:pPr>
              <w:adjustRightInd w:val="0"/>
              <w:snapToGrid w:val="0"/>
              <w:spacing w:line="360" w:lineRule="exact"/>
              <w:ind w:firstLine="480" w:firstLineChars="200"/>
              <w:rPr>
                <w:bCs/>
                <w:sz w:val="24"/>
              </w:rPr>
            </w:pPr>
            <w:r>
              <w:rPr>
                <w:bCs/>
                <w:sz w:val="24"/>
              </w:rPr>
              <w:t>1</w:t>
            </w:r>
            <w:r>
              <w:rPr>
                <w:rFonts w:hint="eastAsia"/>
                <w:bCs/>
                <w:sz w:val="24"/>
              </w:rPr>
              <w:t xml:space="preserve">. </w:t>
            </w:r>
            <w:r>
              <w:rPr>
                <w:bCs/>
                <w:sz w:val="24"/>
              </w:rPr>
              <w:t>制定垃圾分类处置标准</w:t>
            </w:r>
          </w:p>
          <w:p>
            <w:pPr>
              <w:adjustRightInd w:val="0"/>
              <w:snapToGrid w:val="0"/>
              <w:spacing w:line="360" w:lineRule="exact"/>
              <w:ind w:firstLine="480" w:firstLineChars="200"/>
              <w:rPr>
                <w:bCs/>
                <w:sz w:val="24"/>
              </w:rPr>
            </w:pPr>
            <w:r>
              <w:rPr>
                <w:bCs/>
                <w:sz w:val="24"/>
              </w:rPr>
              <w:t>2</w:t>
            </w:r>
            <w:r>
              <w:rPr>
                <w:rFonts w:hint="eastAsia"/>
                <w:bCs/>
                <w:sz w:val="24"/>
              </w:rPr>
              <w:t xml:space="preserve">. </w:t>
            </w:r>
            <w:r>
              <w:rPr>
                <w:bCs/>
                <w:sz w:val="24"/>
              </w:rPr>
              <w:t>制定绿色制造产品标准</w:t>
            </w:r>
          </w:p>
          <w:p>
            <w:pPr>
              <w:adjustRightInd w:val="0"/>
              <w:snapToGrid w:val="0"/>
              <w:spacing w:line="360" w:lineRule="exact"/>
              <w:ind w:firstLine="480" w:firstLineChars="200"/>
              <w:rPr>
                <w:bCs/>
                <w:sz w:val="24"/>
              </w:rPr>
            </w:pPr>
            <w:r>
              <w:rPr>
                <w:bCs/>
                <w:sz w:val="24"/>
              </w:rPr>
              <w:t>3</w:t>
            </w:r>
            <w:r>
              <w:rPr>
                <w:rFonts w:hint="eastAsia"/>
                <w:bCs/>
                <w:sz w:val="24"/>
              </w:rPr>
              <w:t xml:space="preserve">. </w:t>
            </w:r>
            <w:r>
              <w:rPr>
                <w:bCs/>
                <w:sz w:val="24"/>
              </w:rPr>
              <w:t>修订农村生活污水排放标准</w:t>
            </w:r>
          </w:p>
          <w:p>
            <w:pPr>
              <w:adjustRightInd w:val="0"/>
              <w:snapToGrid w:val="0"/>
              <w:spacing w:line="360" w:lineRule="exact"/>
              <w:ind w:firstLine="480" w:firstLineChars="200"/>
              <w:rPr>
                <w:bCs/>
                <w:sz w:val="24"/>
              </w:rPr>
            </w:pPr>
            <w:r>
              <w:rPr>
                <w:bCs/>
                <w:sz w:val="24"/>
              </w:rPr>
              <w:t>4</w:t>
            </w:r>
            <w:r>
              <w:rPr>
                <w:rFonts w:hint="eastAsia"/>
                <w:bCs/>
                <w:sz w:val="24"/>
              </w:rPr>
              <w:t xml:space="preserve">. </w:t>
            </w:r>
            <w:r>
              <w:rPr>
                <w:bCs/>
                <w:sz w:val="24"/>
              </w:rPr>
              <w:t>制定水泥工业大气污染物排放标准</w:t>
            </w:r>
          </w:p>
          <w:p>
            <w:pPr>
              <w:adjustRightInd w:val="0"/>
              <w:snapToGrid w:val="0"/>
              <w:spacing w:line="360" w:lineRule="exact"/>
              <w:ind w:firstLine="480" w:firstLineChars="200"/>
              <w:rPr>
                <w:bCs/>
                <w:sz w:val="24"/>
              </w:rPr>
            </w:pPr>
            <w:r>
              <w:rPr>
                <w:bCs/>
                <w:sz w:val="24"/>
              </w:rPr>
              <w:t>5</w:t>
            </w:r>
            <w:r>
              <w:rPr>
                <w:rFonts w:hint="eastAsia"/>
                <w:bCs/>
                <w:sz w:val="24"/>
              </w:rPr>
              <w:t xml:space="preserve">. </w:t>
            </w:r>
            <w:r>
              <w:rPr>
                <w:bCs/>
                <w:sz w:val="24"/>
              </w:rPr>
              <w:t>制定汽车维修业大气污染物排放标准</w:t>
            </w:r>
          </w:p>
          <w:p>
            <w:pPr>
              <w:adjustRightInd w:val="0"/>
              <w:snapToGrid w:val="0"/>
              <w:spacing w:line="360" w:lineRule="exact"/>
              <w:ind w:firstLine="480" w:firstLineChars="200"/>
              <w:rPr>
                <w:bCs/>
                <w:sz w:val="24"/>
              </w:rPr>
            </w:pPr>
            <w:r>
              <w:rPr>
                <w:bCs/>
                <w:sz w:val="24"/>
              </w:rPr>
              <w:t>6</w:t>
            </w:r>
            <w:r>
              <w:rPr>
                <w:rFonts w:hint="eastAsia"/>
                <w:bCs/>
                <w:sz w:val="24"/>
              </w:rPr>
              <w:t xml:space="preserve">. </w:t>
            </w:r>
            <w:r>
              <w:rPr>
                <w:bCs/>
                <w:sz w:val="24"/>
              </w:rPr>
              <w:t>修订纺织染整工业大气污染物排放标准</w:t>
            </w:r>
          </w:p>
          <w:p>
            <w:pPr>
              <w:adjustRightInd w:val="0"/>
              <w:snapToGrid w:val="0"/>
              <w:spacing w:line="360" w:lineRule="exact"/>
              <w:ind w:firstLine="480" w:firstLineChars="200"/>
              <w:rPr>
                <w:bCs/>
                <w:sz w:val="24"/>
              </w:rPr>
            </w:pPr>
            <w:r>
              <w:rPr>
                <w:bCs/>
                <w:sz w:val="24"/>
              </w:rPr>
              <w:t>7</w:t>
            </w:r>
            <w:r>
              <w:rPr>
                <w:rFonts w:hint="eastAsia"/>
                <w:bCs/>
                <w:sz w:val="24"/>
              </w:rPr>
              <w:t xml:space="preserve">. </w:t>
            </w:r>
            <w:r>
              <w:rPr>
                <w:bCs/>
                <w:sz w:val="24"/>
              </w:rPr>
              <w:t>修订工业企业氮磷间接排放限值</w:t>
            </w:r>
          </w:p>
          <w:p>
            <w:pPr>
              <w:adjustRightInd w:val="0"/>
              <w:snapToGrid w:val="0"/>
              <w:spacing w:line="360" w:lineRule="exact"/>
              <w:ind w:firstLine="480" w:firstLineChars="200"/>
              <w:rPr>
                <w:bCs/>
                <w:sz w:val="24"/>
              </w:rPr>
            </w:pPr>
            <w:r>
              <w:rPr>
                <w:bCs/>
                <w:sz w:val="24"/>
              </w:rPr>
              <w:t>8</w:t>
            </w:r>
            <w:r>
              <w:rPr>
                <w:rFonts w:hint="eastAsia"/>
                <w:bCs/>
                <w:sz w:val="24"/>
              </w:rPr>
              <w:t xml:space="preserve">. </w:t>
            </w:r>
            <w:r>
              <w:rPr>
                <w:bCs/>
                <w:sz w:val="24"/>
              </w:rPr>
              <w:t>制订化学纤维工业大气污染物排放标准</w:t>
            </w:r>
          </w:p>
          <w:p>
            <w:pPr>
              <w:adjustRightInd w:val="0"/>
              <w:snapToGrid w:val="0"/>
              <w:spacing w:line="360" w:lineRule="exact"/>
              <w:ind w:firstLine="480" w:firstLineChars="200"/>
              <w:rPr>
                <w:bCs/>
                <w:sz w:val="24"/>
              </w:rPr>
            </w:pPr>
            <w:r>
              <w:rPr>
                <w:bCs/>
                <w:sz w:val="24"/>
              </w:rPr>
              <w:t>9</w:t>
            </w:r>
            <w:r>
              <w:rPr>
                <w:rFonts w:hint="eastAsia"/>
                <w:bCs/>
                <w:sz w:val="24"/>
              </w:rPr>
              <w:t xml:space="preserve">. </w:t>
            </w:r>
            <w:r>
              <w:rPr>
                <w:bCs/>
                <w:sz w:val="24"/>
              </w:rPr>
              <w:t>修订制药工业大气污染物排放标准</w:t>
            </w:r>
          </w:p>
          <w:p>
            <w:pPr>
              <w:adjustRightInd w:val="0"/>
              <w:snapToGrid w:val="0"/>
              <w:spacing w:line="360" w:lineRule="exact"/>
              <w:ind w:firstLine="480" w:firstLineChars="200"/>
              <w:rPr>
                <w:bCs/>
                <w:sz w:val="24"/>
              </w:rPr>
            </w:pPr>
            <w:r>
              <w:rPr>
                <w:bCs/>
                <w:sz w:val="24"/>
              </w:rPr>
              <w:t>10</w:t>
            </w:r>
            <w:r>
              <w:rPr>
                <w:rFonts w:hint="eastAsia"/>
                <w:bCs/>
                <w:sz w:val="24"/>
              </w:rPr>
              <w:t xml:space="preserve">. </w:t>
            </w:r>
            <w:r>
              <w:rPr>
                <w:bCs/>
                <w:sz w:val="24"/>
              </w:rPr>
              <w:t>修订建设用地土壤污染防治技术导则</w:t>
            </w:r>
          </w:p>
          <w:p>
            <w:pPr>
              <w:adjustRightInd w:val="0"/>
              <w:snapToGrid w:val="0"/>
              <w:spacing w:line="360" w:lineRule="exact"/>
              <w:ind w:firstLine="480" w:firstLineChars="200"/>
              <w:rPr>
                <w:b/>
                <w:sz w:val="24"/>
              </w:rPr>
            </w:pPr>
            <w:r>
              <w:rPr>
                <w:bCs/>
                <w:sz w:val="24"/>
              </w:rPr>
              <w:t>11. 制订重点行业挥发性有机物治理技术规范（系列）</w:t>
            </w:r>
          </w:p>
        </w:tc>
      </w:tr>
    </w:tbl>
    <w:p>
      <w:pPr>
        <w:spacing w:line="590" w:lineRule="exact"/>
        <w:ind w:firstLine="640" w:firstLineChars="200"/>
        <w:outlineLvl w:val="1"/>
        <w:rPr>
          <w:rFonts w:eastAsia="楷体_GB2312"/>
          <w:bCs/>
          <w:szCs w:val="32"/>
        </w:rPr>
      </w:pPr>
      <w:bookmarkStart w:id="117" w:name="_Toc62751196"/>
      <w:bookmarkStart w:id="118" w:name="_Toc62539237"/>
      <w:bookmarkStart w:id="119" w:name="_Toc65063871"/>
      <w:bookmarkStart w:id="120" w:name="_Toc28420"/>
      <w:r>
        <w:rPr>
          <w:rFonts w:eastAsia="楷体_GB2312"/>
          <w:bCs/>
          <w:szCs w:val="32"/>
        </w:rPr>
        <w:t>（三）打造绿色发展的“浙江样板”</w:t>
      </w:r>
      <w:bookmarkEnd w:id="117"/>
      <w:bookmarkEnd w:id="118"/>
      <w:bookmarkEnd w:id="119"/>
      <w:bookmarkEnd w:id="120"/>
    </w:p>
    <w:p>
      <w:pPr>
        <w:spacing w:line="590" w:lineRule="exact"/>
        <w:ind w:firstLine="643" w:firstLineChars="200"/>
        <w:rPr>
          <w:bCs/>
          <w:kern w:val="0"/>
          <w:szCs w:val="32"/>
        </w:rPr>
      </w:pPr>
      <w:r>
        <w:rPr>
          <w:b/>
          <w:bCs/>
          <w:kern w:val="0"/>
          <w:szCs w:val="32"/>
        </w:rPr>
        <w:t>探索生态系统价值核算“浙江经验”。</w:t>
      </w:r>
      <w:r>
        <w:rPr>
          <w:bCs/>
          <w:kern w:val="0"/>
          <w:szCs w:val="32"/>
        </w:rPr>
        <w:t>加快“两山银行”先行先试，推进“大花园”标准化建设，不断完善应用省级生态系统生产总值（GEP）核算技术规范，凝练推广一批“两山”转化实践路径。制定县域GEP核算标准，推动形成GDP与GEP协同增长的评价考核体系，加快绿色金融标准制定和效益考评。深化省内流域上下游横向生态保护补偿机制，积极创新市场化、多元化生态补偿机制，推动生态补偿机制创新继续领跑全国。</w:t>
      </w:r>
    </w:p>
    <w:p>
      <w:pPr>
        <w:spacing w:line="590" w:lineRule="exact"/>
        <w:ind w:firstLine="643" w:firstLineChars="200"/>
        <w:rPr>
          <w:szCs w:val="32"/>
        </w:rPr>
      </w:pPr>
      <w:r>
        <w:rPr>
          <w:b/>
          <w:bCs/>
          <w:szCs w:val="32"/>
        </w:rPr>
        <w:t>贡献全产业绿色转型“浙江方案”。</w:t>
      </w:r>
      <w:r>
        <w:rPr>
          <w:bCs/>
          <w:szCs w:val="32"/>
        </w:rPr>
        <w:t>围绕国家碳达峰目标和碳中和愿景，研究制定浙江省二氧化碳排放达峰行动方案以及重点领域专项行动方案，推进有条件地区和重点行业率先达到碳排放峰值。</w:t>
      </w:r>
      <w:r>
        <w:rPr>
          <w:szCs w:val="32"/>
        </w:rPr>
        <w:t>大力发展高效生态现代农业，稳步推进农业绿色发展试点先行区建设。构建绿色制造体系，推进各行业企业实行清洁生产，引导工业绿色发展，加快推动电力、建材、石油化工等行业的生</w:t>
      </w:r>
      <w:r>
        <w:rPr>
          <w:spacing w:val="2"/>
          <w:szCs w:val="32"/>
        </w:rPr>
        <w:t>态化改造。深入开展绿色技术创新“十百千”行动，积极创建国家级绿色技术交易平台，建立健全市场导向的绿色技术创新体系。实施循环经济“991”行动计划升级版，加快构建资源循环利用体系。</w:t>
      </w:r>
    </w:p>
    <w:p>
      <w:pPr>
        <w:spacing w:line="590" w:lineRule="exact"/>
        <w:ind w:firstLine="643" w:firstLineChars="200"/>
        <w:rPr>
          <w:szCs w:val="32"/>
        </w:rPr>
      </w:pPr>
      <w:r>
        <w:rPr>
          <w:b/>
          <w:bCs/>
          <w:szCs w:val="32"/>
        </w:rPr>
        <w:t>率先普及绿色低碳生活方式。</w:t>
      </w:r>
      <w:r>
        <w:rPr>
          <w:szCs w:val="32"/>
        </w:rPr>
        <w:t>推进统一的绿色产品标准、认证、标识体系建设，鼓励公众优先购买节能、节水、环保、资源再生等绿色标志产品。积极推进低碳综合交通网络建设，倡导绿色出行。推行绿色保障，减少固废产生，构建分级分类的生活垃圾循环利用体系。实施塑料污染治理三年行动计划，减少一次性保障的消耗，加强商场、超市、商品市场等场所和电商快递、餐饮外卖等领域塑料污染治理。完善绿色采购制度，落实政府优先采购和强制采购节能环保产品制度。</w:t>
      </w:r>
    </w:p>
    <w:p>
      <w:pPr>
        <w:spacing w:line="590" w:lineRule="exact"/>
        <w:ind w:firstLine="640" w:firstLineChars="200"/>
        <w:outlineLvl w:val="0"/>
        <w:rPr>
          <w:rFonts w:eastAsia="黑体"/>
          <w:kern w:val="44"/>
          <w:szCs w:val="32"/>
        </w:rPr>
      </w:pPr>
      <w:bookmarkStart w:id="121" w:name="_Toc65063872"/>
      <w:bookmarkStart w:id="122" w:name="_Toc22909"/>
      <w:bookmarkStart w:id="123" w:name="_Toc62751197"/>
      <w:bookmarkStart w:id="124" w:name="_Toc62539238"/>
      <w:r>
        <w:rPr>
          <w:rFonts w:eastAsia="黑体"/>
          <w:kern w:val="44"/>
          <w:szCs w:val="32"/>
        </w:rPr>
        <w:t>七、强化质量技术基础体系</w:t>
      </w:r>
      <w:bookmarkEnd w:id="121"/>
      <w:bookmarkEnd w:id="122"/>
      <w:bookmarkEnd w:id="123"/>
      <w:bookmarkEnd w:id="124"/>
    </w:p>
    <w:p>
      <w:pPr>
        <w:spacing w:line="590" w:lineRule="exact"/>
        <w:ind w:firstLine="640" w:firstLineChars="200"/>
        <w:outlineLvl w:val="1"/>
        <w:rPr>
          <w:rFonts w:eastAsia="楷体_GB2312"/>
          <w:bCs/>
          <w:szCs w:val="32"/>
        </w:rPr>
      </w:pPr>
      <w:bookmarkStart w:id="125" w:name="_Toc65063873"/>
      <w:bookmarkStart w:id="126" w:name="_Toc62751198"/>
      <w:bookmarkStart w:id="127" w:name="_Toc31400"/>
      <w:bookmarkStart w:id="128" w:name="_Toc62539239"/>
      <w:r>
        <w:rPr>
          <w:rFonts w:eastAsia="楷体_GB2312"/>
          <w:bCs/>
          <w:szCs w:val="32"/>
        </w:rPr>
        <w:t>（一）建设现代先进计量体系</w:t>
      </w:r>
      <w:bookmarkEnd w:id="125"/>
    </w:p>
    <w:p>
      <w:pPr>
        <w:spacing w:line="590" w:lineRule="exact"/>
        <w:ind w:firstLine="643" w:firstLineChars="200"/>
        <w:rPr>
          <w:szCs w:val="32"/>
        </w:rPr>
      </w:pPr>
      <w:r>
        <w:rPr>
          <w:b/>
          <w:bCs/>
          <w:szCs w:val="32"/>
        </w:rPr>
        <w:t>加强计量基础设施建设。</w:t>
      </w:r>
      <w:r>
        <w:rPr>
          <w:szCs w:val="32"/>
        </w:rPr>
        <w:t>对标计量先进技术水平，建设一批面向国家重大需求和人民生命健康的关键计量测试能力。完善量值传递溯源体系，推进社会公用计量标准建设和改造升级。培育一批国家和省级产业计量测试中心，推动产业计量测试中心与产业创新服务综合体、制造业创新中心等融合发展。加快国家计量科学数据中心浙江分中心建设，推动计量大数据规范化建设和创新应用。开展县级法定计量技术机构能力提升行动，全面提升强制检定保障能力。大力发展计量校准测试服务业，培育一批本土品牌校准机构。</w:t>
      </w:r>
    </w:p>
    <w:p>
      <w:pPr>
        <w:spacing w:line="590" w:lineRule="exact"/>
        <w:ind w:firstLine="643" w:firstLineChars="200"/>
        <w:rPr>
          <w:szCs w:val="32"/>
        </w:rPr>
      </w:pPr>
      <w:r>
        <w:rPr>
          <w:b/>
          <w:bCs/>
          <w:szCs w:val="32"/>
        </w:rPr>
        <w:t>提升计量服务水平。</w:t>
      </w:r>
      <w:r>
        <w:rPr>
          <w:szCs w:val="32"/>
        </w:rPr>
        <w:t>充分发挥计量对经济社会发展的支撑与保障作用，提升计量服务国家战略、产业转型升级、生态环境改善和民生保障能力。实施“优化计量、提质增效”企业帮扶三年行动，引导企业完善先进测量管理体系。加强能源资源计量，开展碳排放测量、大气环境、大流量等先进测量技术研究和探索，组织高耗能行业能效对标和节能诊断，促进传统产业绿色发展。</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专栏7-1  计量重大平台及能力建设</w:t>
            </w:r>
          </w:p>
          <w:p>
            <w:pPr>
              <w:adjustRightInd w:val="0"/>
              <w:snapToGrid w:val="0"/>
              <w:spacing w:line="350" w:lineRule="exact"/>
              <w:ind w:firstLine="480" w:firstLineChars="200"/>
              <w:rPr>
                <w:bCs/>
                <w:sz w:val="24"/>
              </w:rPr>
            </w:pPr>
            <w:r>
              <w:rPr>
                <w:rFonts w:eastAsia="楷体_GB2312"/>
                <w:bCs/>
                <w:sz w:val="24"/>
              </w:rPr>
              <w:t>科技创新平台。</w:t>
            </w:r>
            <w:r>
              <w:rPr>
                <w:bCs/>
                <w:sz w:val="24"/>
              </w:rPr>
              <w:t>积极争创新型与智能声学振动装备精密测量技术国家市场监管重点实验室、数字计量应用（智能制造）国家市场监管技术创新中心、工业互联网计量器具可信计量省市场监管重点实验室、智能量测技术研究省市场监管重点实验室、热物性检测技术省市场监管重点实验室等。</w:t>
            </w:r>
          </w:p>
          <w:p>
            <w:pPr>
              <w:spacing w:line="350" w:lineRule="exact"/>
              <w:ind w:firstLine="480" w:firstLineChars="200"/>
              <w:rPr>
                <w:sz w:val="24"/>
              </w:rPr>
            </w:pPr>
            <w:r>
              <w:rPr>
                <w:rFonts w:eastAsia="楷体_GB2312"/>
                <w:bCs/>
                <w:sz w:val="24"/>
              </w:rPr>
              <w:t>数字计量云平台。</w:t>
            </w:r>
            <w:r>
              <w:rPr>
                <w:bCs/>
                <w:sz w:val="24"/>
              </w:rPr>
              <w:t>依托国家计量科学数据中心浙江省分中心，为计量行业打造“互联网+计量服务”的综合应用服务云平台，建立全省统一的“计量信息数据库”，为政府、计量技术机构、科技人员、相关企业提供精准、安全、数据可靠、认证可信的计量大数据服务。</w:t>
            </w:r>
            <w:r>
              <w:rPr>
                <w:sz w:val="24"/>
              </w:rPr>
              <w:t xml:space="preserve">  </w:t>
            </w:r>
          </w:p>
          <w:p>
            <w:pPr>
              <w:adjustRightInd w:val="0"/>
              <w:snapToGrid w:val="0"/>
              <w:spacing w:line="350" w:lineRule="exact"/>
              <w:ind w:firstLine="480" w:firstLineChars="200"/>
              <w:rPr>
                <w:b/>
                <w:bCs/>
                <w:sz w:val="24"/>
              </w:rPr>
            </w:pPr>
            <w:r>
              <w:rPr>
                <w:rFonts w:eastAsia="楷体_GB2312"/>
                <w:bCs/>
                <w:sz w:val="24"/>
              </w:rPr>
              <w:t>社会公用计量标准。</w:t>
            </w:r>
            <w:r>
              <w:rPr>
                <w:sz w:val="24"/>
              </w:rPr>
              <w:t>在食品安全、节能环保、交通运输、先进制造等重点领域新建和改造提升500项以上高准确度、高稳定性的社会公用计量标准。</w:t>
            </w:r>
          </w:p>
          <w:p>
            <w:pPr>
              <w:spacing w:line="350" w:lineRule="exact"/>
              <w:ind w:firstLine="480" w:firstLineChars="200"/>
              <w:rPr>
                <w:b/>
                <w:bCs/>
                <w:sz w:val="24"/>
              </w:rPr>
            </w:pPr>
            <w:r>
              <w:rPr>
                <w:rFonts w:eastAsia="楷体_GB2312"/>
                <w:bCs/>
                <w:sz w:val="24"/>
              </w:rPr>
              <w:t>产业服务能力。</w:t>
            </w:r>
            <w:r>
              <w:rPr>
                <w:bCs/>
                <w:sz w:val="24"/>
              </w:rPr>
              <w:t>积极争取新增OIML国际互认实验室和国家型式评价实验室。力争在无人机、海洋探测、智慧交通等领域获批筹建一批国家产业计量测试中心和省级产业计量测试中心，加快推进仪器仪表可靠性试验平台、智能网联汽车关键参数测试平台、高电压及互感器计量中心、电离辐射计量中心、国家时间频率计量中心应用中心（浙江）、5G及智能物联技术服务平台、生物与标准物质计量中心、数字精密测量平台等能力建设。</w:t>
            </w:r>
          </w:p>
        </w:tc>
      </w:tr>
    </w:tbl>
    <w:p>
      <w:pPr>
        <w:spacing w:line="590" w:lineRule="exact"/>
        <w:ind w:firstLine="640" w:firstLineChars="200"/>
        <w:outlineLvl w:val="1"/>
        <w:rPr>
          <w:rFonts w:eastAsia="楷体_GB2312"/>
          <w:bCs/>
          <w:szCs w:val="32"/>
        </w:rPr>
      </w:pPr>
      <w:bookmarkStart w:id="129" w:name="_Toc65063874"/>
      <w:r>
        <w:rPr>
          <w:rFonts w:eastAsia="楷体_GB2312"/>
          <w:bCs/>
          <w:szCs w:val="32"/>
        </w:rPr>
        <w:t>（二）提升标准化技术服务</w:t>
      </w:r>
      <w:bookmarkEnd w:id="126"/>
      <w:bookmarkEnd w:id="127"/>
      <w:r>
        <w:rPr>
          <w:rFonts w:eastAsia="楷体_GB2312"/>
          <w:bCs/>
          <w:szCs w:val="32"/>
        </w:rPr>
        <w:t>水平</w:t>
      </w:r>
      <w:bookmarkEnd w:id="129"/>
    </w:p>
    <w:p>
      <w:pPr>
        <w:spacing w:line="590" w:lineRule="exact"/>
        <w:ind w:firstLine="643" w:firstLineChars="200"/>
        <w:rPr>
          <w:szCs w:val="32"/>
        </w:rPr>
      </w:pPr>
      <w:r>
        <w:rPr>
          <w:b/>
          <w:bCs/>
          <w:szCs w:val="32"/>
        </w:rPr>
        <w:t>加强标准化技术服务能力建设。</w:t>
      </w:r>
      <w:r>
        <w:rPr>
          <w:bCs/>
          <w:szCs w:val="32"/>
        </w:rPr>
        <w:t>激发公益性标准化研究机构活力，推进高端标准化智库建设，提升标准化技术机构和组织的研究和服务能力。加快</w:t>
      </w:r>
      <w:r>
        <w:rPr>
          <w:szCs w:val="32"/>
        </w:rPr>
        <w:t>培育一批以提供标准化服务为核心业务的专业咨询机构、事务所，增加标准化服务市场有效供给。加强标准藏馆建设，推动与国际标准组织、国外先进标准组织机构的标准信息资源交换与合作。建设全省标准化信息公共服务平台，推进跨层级、跨系统、跨部门的协同管理和服务。</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专栏7-2  标准化技术服务平台建设</w:t>
            </w:r>
          </w:p>
          <w:p>
            <w:pPr>
              <w:adjustRightInd w:val="0"/>
              <w:snapToGrid w:val="0"/>
              <w:spacing w:line="360" w:lineRule="exact"/>
              <w:ind w:firstLine="480" w:firstLineChars="200"/>
              <w:rPr>
                <w:sz w:val="24"/>
              </w:rPr>
            </w:pPr>
            <w:r>
              <w:rPr>
                <w:rFonts w:eastAsia="楷体_GB2312"/>
                <w:bCs/>
                <w:sz w:val="24"/>
              </w:rPr>
              <w:t>技术机构建设。</w:t>
            </w:r>
            <w:r>
              <w:rPr>
                <w:sz w:val="24"/>
              </w:rPr>
              <w:t>深化省级、市级标准化研究机构能力建设，提升金砖国家标准化研究中心、浙江（义乌）国家标准技术审评中心、杭州国际标准化会议基地、宁波中东欧标准化研究中心等平台服务能力，在“互联网+”、新材料、生命健康等领域建设标准创新联盟。</w:t>
            </w:r>
          </w:p>
          <w:p>
            <w:pPr>
              <w:adjustRightInd w:val="0"/>
              <w:snapToGrid w:val="0"/>
              <w:spacing w:line="360" w:lineRule="exact"/>
              <w:ind w:firstLine="480" w:firstLineChars="200"/>
              <w:rPr>
                <w:b/>
                <w:bCs/>
                <w:sz w:val="24"/>
              </w:rPr>
            </w:pPr>
            <w:r>
              <w:rPr>
                <w:rFonts w:eastAsia="楷体_GB2312"/>
                <w:bCs/>
                <w:sz w:val="24"/>
              </w:rPr>
              <w:t>信息平台建设。</w:t>
            </w:r>
            <w:r>
              <w:rPr>
                <w:sz w:val="24"/>
              </w:rPr>
              <w:t>建设浙江省标准化信息服务平台，集成地方标准、标准化试点项目、专业标技委等信息化管理系统，实现全省标准化业务工作“一网通办”，提供标准化信息服务。建设之江标准信息平台、浙江省应对技术性贸易壁垒信息服务平台，加强对国际标准、通报评议、特贸关注等的跟踪和评议，持续开展国际、国外通报评议工作。</w:t>
            </w:r>
          </w:p>
        </w:tc>
      </w:tr>
    </w:tbl>
    <w:p>
      <w:pPr>
        <w:spacing w:line="590" w:lineRule="exact"/>
        <w:ind w:firstLine="643" w:firstLineChars="200"/>
        <w:rPr>
          <w:szCs w:val="32"/>
        </w:rPr>
      </w:pPr>
      <w:r>
        <w:rPr>
          <w:b/>
          <w:bCs/>
          <w:szCs w:val="32"/>
        </w:rPr>
        <w:t>推动标准化服务市场化发展。</w:t>
      </w:r>
      <w:r>
        <w:rPr>
          <w:szCs w:val="32"/>
        </w:rPr>
        <w:t>突出市场化、专业化、规范化、国际化发展导向，构建结构优化、服务优质、布局合理、融合共享的标准化服务生态体系。建立标准化服务良好行业规范，制定能力评估、服务质量评估等相关标准。鼓励整合各类优质资源，建立标准化服务产业联盟。加强标准化服务人员和机构信用建设，推动利益相关方、第三方机构等开展独立的标准化服务评价，充分发挥社会监督作用。</w:t>
      </w:r>
    </w:p>
    <w:bookmarkEnd w:id="128"/>
    <w:p>
      <w:pPr>
        <w:spacing w:line="590" w:lineRule="exact"/>
        <w:ind w:firstLine="640" w:firstLineChars="200"/>
        <w:outlineLvl w:val="1"/>
        <w:rPr>
          <w:rFonts w:eastAsia="楷体_GB2312"/>
          <w:bCs/>
          <w:szCs w:val="32"/>
        </w:rPr>
      </w:pPr>
      <w:bookmarkStart w:id="130" w:name="_Toc62751200"/>
      <w:bookmarkStart w:id="131" w:name="_Toc62539240"/>
      <w:bookmarkStart w:id="132" w:name="_Toc20244"/>
      <w:bookmarkStart w:id="133" w:name="_Toc65063875"/>
      <w:r>
        <w:rPr>
          <w:rFonts w:eastAsia="楷体_GB2312"/>
          <w:bCs/>
          <w:szCs w:val="32"/>
        </w:rPr>
        <w:t>（三）提高检验检测服务能力</w:t>
      </w:r>
      <w:bookmarkEnd w:id="130"/>
      <w:bookmarkEnd w:id="131"/>
      <w:bookmarkEnd w:id="132"/>
      <w:bookmarkEnd w:id="133"/>
    </w:p>
    <w:p>
      <w:pPr>
        <w:spacing w:line="590" w:lineRule="exact"/>
        <w:ind w:firstLine="643" w:firstLineChars="200"/>
        <w:rPr>
          <w:bCs/>
          <w:szCs w:val="32"/>
        </w:rPr>
      </w:pPr>
      <w:r>
        <w:rPr>
          <w:b/>
          <w:szCs w:val="32"/>
        </w:rPr>
        <w:t>加快检验检测能力提升。</w:t>
      </w:r>
      <w:r>
        <w:rPr>
          <w:bCs/>
          <w:szCs w:val="32"/>
        </w:rPr>
        <w:t>围绕世界级先进制造业集群培育和十大标志性产业链需求，制定实施国家级省级质检中心能力提升三年行动计划，持续加强检测装备投入和技术改造，突破一批我省产业和企业“卡脖子”检验检测技术。强化食品、日用消费品、特种设备等质量安全监管技术支撑保障能力建设，重点提升有毒有害物质痕量检测技术、品质评价技术、无损检测技术、复杂对象和极端条件检验检测技术等核心能力。</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专栏7-3  检验检测保障能力建设</w:t>
            </w:r>
          </w:p>
          <w:p>
            <w:pPr>
              <w:spacing w:line="330" w:lineRule="exact"/>
              <w:ind w:firstLine="480" w:firstLineChars="200"/>
              <w:rPr>
                <w:bCs/>
                <w:sz w:val="24"/>
              </w:rPr>
            </w:pPr>
            <w:r>
              <w:rPr>
                <w:rFonts w:eastAsia="楷体_GB2312"/>
                <w:bCs/>
                <w:sz w:val="24"/>
              </w:rPr>
              <w:t>食品安全技术保障能力。</w:t>
            </w:r>
            <w:r>
              <w:rPr>
                <w:bCs/>
                <w:sz w:val="24"/>
              </w:rPr>
              <w:t>一是提升农兽药残留、有机污染物等检测能力；二是提升食品安全性风险检测评估能力；三是提升食品质量评价与真伪甄别能力、功能性食品（含保健食品）营养品质评价能力；四是提升食品快检评价服务能力；五是提升食品安全风险分析和追溯服务能力。</w:t>
            </w:r>
          </w:p>
          <w:p>
            <w:pPr>
              <w:spacing w:line="330" w:lineRule="exact"/>
              <w:ind w:firstLine="480" w:firstLineChars="200"/>
              <w:rPr>
                <w:bCs/>
                <w:sz w:val="24"/>
              </w:rPr>
            </w:pPr>
            <w:r>
              <w:rPr>
                <w:rFonts w:eastAsia="楷体_GB2312"/>
                <w:bCs/>
                <w:sz w:val="24"/>
              </w:rPr>
              <w:t>特种设备安全技术保障能力。</w:t>
            </w:r>
            <w:r>
              <w:rPr>
                <w:bCs/>
                <w:sz w:val="24"/>
              </w:rPr>
              <w:t>一是提升成套装置风险评估能力；二是提升阀门及罐车检验检测能力；三是提升起重机械型式试验与安全状况评估能力；四是提升特种设备结构仿真能力；五是提升特种金属结构材料检测能力；六是提升先进无损检测技术能力。</w:t>
            </w:r>
          </w:p>
          <w:p>
            <w:pPr>
              <w:spacing w:line="330" w:lineRule="exact"/>
              <w:ind w:firstLine="480" w:firstLineChars="200"/>
              <w:rPr>
                <w:b/>
                <w:bCs/>
                <w:sz w:val="24"/>
              </w:rPr>
            </w:pPr>
            <w:r>
              <w:rPr>
                <w:rFonts w:eastAsia="楷体_GB2312"/>
                <w:bCs/>
                <w:sz w:val="24"/>
              </w:rPr>
              <w:t>工业产品和日用消费品安全技术保障能力。</w:t>
            </w:r>
            <w:r>
              <w:rPr>
                <w:bCs/>
                <w:sz w:val="24"/>
              </w:rPr>
              <w:t>一是提升质量安全风险监测能力，实现对重点风险产品精准识别、及时预警、闭环处置；二是提升有毒有害物质检测能力；三是提升阻燃/耐火材料安全检测能力，建设长三角地区规模最大的专业燃烧检测实验室，填补省内空白；四是提升公共卫生安全检测能力，推动标准物质研究实验室、生物计量安全实验室等建设</w:t>
            </w:r>
            <w:r>
              <w:rPr>
                <w:rFonts w:hint="eastAsia"/>
                <w:bCs/>
                <w:sz w:val="24"/>
              </w:rPr>
              <w:t>；</w:t>
            </w:r>
            <w:r>
              <w:rPr>
                <w:bCs/>
                <w:sz w:val="24"/>
              </w:rPr>
              <w:t>五是提升绿色石化安全技术保障能力，强化绿色石化产品检验检测和装备研发能力。</w:t>
            </w:r>
          </w:p>
        </w:tc>
      </w:tr>
    </w:tbl>
    <w:p>
      <w:pPr>
        <w:spacing w:line="590" w:lineRule="exact"/>
        <w:ind w:firstLine="643" w:firstLineChars="200"/>
        <w:rPr>
          <w:rFonts w:hint="eastAsia"/>
          <w:bCs/>
          <w:szCs w:val="32"/>
        </w:rPr>
      </w:pPr>
      <w:r>
        <w:rPr>
          <w:b/>
          <w:bCs/>
          <w:szCs w:val="32"/>
        </w:rPr>
        <w:t>提升</w:t>
      </w:r>
      <w:r>
        <w:rPr>
          <w:b/>
          <w:szCs w:val="32"/>
        </w:rPr>
        <w:t>检验检测服务质量。</w:t>
      </w:r>
      <w:r>
        <w:rPr>
          <w:szCs w:val="32"/>
        </w:rPr>
        <w:t>充分发挥国家检验检测高技术服务业集聚区（浙江）作用，大力发展检验检测高技术服务业，加强“产学研检”协同，推进质量基础应用技术研究开发及重点成果转化示范应用</w:t>
      </w:r>
      <w:r>
        <w:rPr>
          <w:bCs/>
          <w:szCs w:val="32"/>
        </w:rPr>
        <w:t>。深化检验检测“最多跑一次”改革，做强“浙里检”平台，综合运用大数据分析、人工智能等先进技术，</w:t>
      </w:r>
      <w:r>
        <w:rPr>
          <w:szCs w:val="32"/>
        </w:rPr>
        <w:t>实现检验检测服务全程“一网通办”</w:t>
      </w:r>
      <w:r>
        <w:rPr>
          <w:bCs/>
          <w:szCs w:val="32"/>
        </w:rPr>
        <w:t>。</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专栏7-4  检验检测重大平台建设</w:t>
            </w:r>
          </w:p>
          <w:p>
            <w:pPr>
              <w:adjustRightInd w:val="0"/>
              <w:snapToGrid w:val="0"/>
              <w:spacing w:line="360" w:lineRule="exact"/>
              <w:ind w:firstLine="480" w:firstLineChars="200"/>
              <w:rPr>
                <w:bCs/>
                <w:sz w:val="24"/>
              </w:rPr>
            </w:pPr>
            <w:r>
              <w:rPr>
                <w:rFonts w:eastAsia="楷体_GB2312"/>
                <w:bCs/>
                <w:sz w:val="24"/>
              </w:rPr>
              <w:t>国家质检中心。</w:t>
            </w:r>
            <w:r>
              <w:rPr>
                <w:bCs/>
                <w:sz w:val="24"/>
              </w:rPr>
              <w:t>积极创建智能电网输配电及控制设备、绿色包装、智能坐具、塑料模具及制品、节水器具、燃气具和厨卫产品、教玩具、消防及阻燃产品等国家质检中心。到2025年，形成国家质检中心55家以上。</w:t>
            </w:r>
          </w:p>
          <w:p>
            <w:pPr>
              <w:spacing w:line="360" w:lineRule="exact"/>
              <w:ind w:firstLine="480" w:firstLineChars="200"/>
              <w:rPr>
                <w:b/>
                <w:bCs/>
                <w:sz w:val="24"/>
              </w:rPr>
            </w:pPr>
            <w:r>
              <w:rPr>
                <w:rFonts w:eastAsia="楷体_GB2312"/>
                <w:bCs/>
                <w:sz w:val="24"/>
              </w:rPr>
              <w:t>省级质检中心。</w:t>
            </w:r>
            <w:r>
              <w:rPr>
                <w:bCs/>
                <w:sz w:val="24"/>
              </w:rPr>
              <w:t>在无人机产品、物流（快递）绿色包装用品、可降解材料、石油化工（危险化学品）产品、海洋涂料、液压元件、蓄能器产品、食品接触材料、功能性食品（含保健食品）、伴侣动物（宠物）消费品、户外用品、编织制品、非道路机械产品等领域布局省级质检中心。到2025年，形成省级质检中心110家以上。</w:t>
            </w:r>
          </w:p>
        </w:tc>
      </w:tr>
    </w:tbl>
    <w:p>
      <w:pPr>
        <w:spacing w:line="590" w:lineRule="exact"/>
        <w:ind w:firstLine="640" w:firstLineChars="200"/>
        <w:outlineLvl w:val="1"/>
        <w:rPr>
          <w:rFonts w:eastAsia="楷体_GB2312"/>
          <w:bCs/>
          <w:szCs w:val="32"/>
        </w:rPr>
      </w:pPr>
      <w:bookmarkStart w:id="134" w:name="_Toc65063876"/>
      <w:bookmarkStart w:id="135" w:name="_Toc62539241"/>
      <w:bookmarkStart w:id="136" w:name="_Toc18697"/>
      <w:bookmarkStart w:id="137" w:name="_Toc62751201"/>
      <w:r>
        <w:rPr>
          <w:rFonts w:eastAsia="楷体_GB2312"/>
          <w:bCs/>
          <w:szCs w:val="32"/>
        </w:rPr>
        <w:t>（四）优化认证认可体系</w:t>
      </w:r>
      <w:bookmarkEnd w:id="134"/>
      <w:bookmarkEnd w:id="135"/>
      <w:bookmarkEnd w:id="136"/>
      <w:bookmarkEnd w:id="137"/>
    </w:p>
    <w:p>
      <w:pPr>
        <w:spacing w:line="590" w:lineRule="exact"/>
        <w:ind w:firstLine="643" w:firstLineChars="200"/>
        <w:rPr>
          <w:szCs w:val="32"/>
        </w:rPr>
      </w:pPr>
      <w:r>
        <w:rPr>
          <w:b/>
          <w:szCs w:val="32"/>
        </w:rPr>
        <w:t>加大高品质认证供给。</w:t>
      </w:r>
      <w:r>
        <w:rPr>
          <w:szCs w:val="32"/>
        </w:rPr>
        <w:t>持续推进“丽水山耕”等农业区域公共品牌认证，扩大有机产品认证群体。高水平推进“品字标浙江制造”认证，提升质量、环境、职业健康安全、能源、知识产权管理体系认证质量。加快探索建立数字服务、信息安全、新能源等新兴产业领域认证认可制度，培育和发展具有国际先进水平的认证体系、产品。推动民宿服务认证，探索开展养老服务认证体系研究。加快绿色产品认证拓点扩面，推动与绿色制造采信互认，扩大绿色包装、绿色建材认证。</w:t>
      </w:r>
    </w:p>
    <w:p>
      <w:pPr>
        <w:spacing w:line="590" w:lineRule="exact"/>
        <w:ind w:firstLine="643" w:firstLineChars="200"/>
        <w:rPr>
          <w:szCs w:val="32"/>
        </w:rPr>
      </w:pPr>
      <w:r>
        <w:rPr>
          <w:b/>
          <w:szCs w:val="32"/>
        </w:rPr>
        <w:t>推进认证认可开放合作。</w:t>
      </w:r>
      <w:r>
        <w:rPr>
          <w:szCs w:val="32"/>
        </w:rPr>
        <w:t>深化检验检测机构“证照分离”改革，逐步实现资质认定范围清单管理。进一步优化CCC免办流程实施自我承诺模式，推进“自我承诺、自动填报、自动获证”贸易便利化措施。探索深化“一次认证、多国证书”国际合作。鼓励支持国内机构拓展国际业务，积极参与和主动引领认证认可国际标准、规则的制定，培育具有国际影响力的浙江认证品牌。</w:t>
      </w:r>
    </w:p>
    <w:p>
      <w:pPr>
        <w:spacing w:line="590" w:lineRule="exact"/>
        <w:ind w:firstLine="640" w:firstLineChars="200"/>
        <w:outlineLvl w:val="1"/>
        <w:rPr>
          <w:rFonts w:eastAsia="楷体_GB2312"/>
          <w:bCs/>
          <w:szCs w:val="32"/>
        </w:rPr>
      </w:pPr>
      <w:bookmarkStart w:id="138" w:name="_Toc65063877"/>
      <w:bookmarkStart w:id="139" w:name="_Toc22540"/>
      <w:bookmarkStart w:id="140" w:name="_Toc62539242"/>
      <w:bookmarkStart w:id="141" w:name="_Toc62751202"/>
      <w:r>
        <w:rPr>
          <w:rFonts w:eastAsia="楷体_GB2312"/>
          <w:bCs/>
          <w:szCs w:val="32"/>
        </w:rPr>
        <w:t>（五）推进质量基础设施集成服务</w:t>
      </w:r>
      <w:bookmarkEnd w:id="138"/>
      <w:bookmarkEnd w:id="139"/>
      <w:bookmarkEnd w:id="140"/>
      <w:bookmarkEnd w:id="141"/>
    </w:p>
    <w:p>
      <w:pPr>
        <w:spacing w:line="590" w:lineRule="exact"/>
        <w:ind w:firstLine="640" w:firstLineChars="200"/>
        <w:rPr>
          <w:szCs w:val="32"/>
        </w:rPr>
      </w:pPr>
      <w:r>
        <w:rPr>
          <w:bCs/>
          <w:szCs w:val="32"/>
        </w:rPr>
        <w:t>加强对接我省全球先进制造业基地建设，以国家和省级质检中心、产业计量测试中心为依托，构建以“浙里检”为全省统一线上平台、各产业集聚地线下实体平台联动的“1+N”质量基础设施“一站式”服务平台体系，支撑全过程、全生命周期的质量服务需求。</w:t>
      </w:r>
      <w:r>
        <w:rPr>
          <w:szCs w:val="32"/>
        </w:rPr>
        <w:t>到2025年，全省建成并投入使用线下实体质量基础设施“一站式”服务平台300个，基本建成领先全国的质量基础设施综合服务体系。协同推进军民两用质量基础设施建设，增强对经济建设和国防建设的整体支撑能力。</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专栏7-5</w:t>
            </w:r>
            <w:r>
              <w:rPr>
                <w:rFonts w:hint="eastAsia" w:eastAsia="黑体"/>
                <w:bCs/>
                <w:sz w:val="28"/>
              </w:rPr>
              <w:t xml:space="preserve"> </w:t>
            </w:r>
            <w:r>
              <w:rPr>
                <w:rFonts w:eastAsia="黑体"/>
                <w:bCs/>
                <w:sz w:val="28"/>
              </w:rPr>
              <w:t xml:space="preserve"> “1+N”质量基础设施</w:t>
            </w:r>
          </w:p>
          <w:p>
            <w:pPr>
              <w:spacing w:line="360" w:lineRule="exact"/>
              <w:ind w:firstLine="480" w:firstLineChars="200"/>
              <w:rPr>
                <w:b/>
                <w:bCs/>
                <w:sz w:val="24"/>
              </w:rPr>
            </w:pPr>
            <w:r>
              <w:rPr>
                <w:rFonts w:eastAsia="楷体_GB2312"/>
                <w:bCs/>
                <w:sz w:val="24"/>
              </w:rPr>
              <w:t>打造“浙里检”升级版统一线上平台。</w:t>
            </w:r>
            <w:r>
              <w:rPr>
                <w:sz w:val="24"/>
              </w:rPr>
              <w:t>扩大“浙里检”应用范围，优化计量、标准、</w:t>
            </w:r>
            <w:r>
              <w:rPr>
                <w:spacing w:val="4"/>
                <w:sz w:val="24"/>
              </w:rPr>
              <w:t>认证认可、检验检测等核心质量基础设施服务，拓展质量管理、知识产权、品牌建设和其他涉企职能，建成面向企业、产业、区域的线上质量基础设施“一站式”服务平台。</w:t>
            </w:r>
            <w:r>
              <w:rPr>
                <w:bCs/>
                <w:spacing w:val="4"/>
                <w:sz w:val="24"/>
              </w:rPr>
              <w:t>加快与省企业码和企业服务综合平台、省中小企业公共服务平台、“小微通”平台对接，纳入全省政务服务平台体系，实现质量基础设施服务一网通办、全域通办。</w:t>
            </w:r>
          </w:p>
          <w:p>
            <w:pPr>
              <w:spacing w:line="360" w:lineRule="exact"/>
              <w:ind w:firstLine="480" w:firstLineChars="200"/>
              <w:rPr>
                <w:sz w:val="24"/>
              </w:rPr>
            </w:pPr>
            <w:r>
              <w:rPr>
                <w:rFonts w:eastAsia="楷体_GB2312"/>
                <w:bCs/>
                <w:sz w:val="24"/>
              </w:rPr>
              <w:t>布局多点位线下平台。</w:t>
            </w:r>
            <w:r>
              <w:rPr>
                <w:sz w:val="24"/>
              </w:rPr>
              <w:t>原则上一个县至少建设一个质量基础设施“一站式”服务平台，统筹地区质量基础资源，以现有国家和省级质检中心、产业计量测试中心为核心，全面引入质量基础设施和涉企服务咨询，设立“一站式”受理窗口，开展“一站式”服务。</w:t>
            </w:r>
          </w:p>
          <w:p>
            <w:pPr>
              <w:spacing w:line="360" w:lineRule="exact"/>
              <w:ind w:firstLine="480" w:firstLineChars="200"/>
              <w:rPr>
                <w:b/>
                <w:bCs/>
                <w:sz w:val="24"/>
              </w:rPr>
            </w:pPr>
            <w:r>
              <w:rPr>
                <w:rFonts w:eastAsia="楷体_GB2312"/>
                <w:bCs/>
                <w:sz w:val="24"/>
              </w:rPr>
              <w:t>线上线下联动推进。</w:t>
            </w:r>
            <w:r>
              <w:rPr>
                <w:sz w:val="24"/>
              </w:rPr>
              <w:t>在“浙里检”开设质量基础设施“一站式”服务实体平台专栏，全面展示全省线下实体质量基础设施“一站式”服务平台名单、业务内容、服务特色，实现平台信息实时查询、技术机构业务在线委托，形成“1+N”线上线下全覆盖的质量基础设施平台网络。</w:t>
            </w:r>
          </w:p>
        </w:tc>
      </w:tr>
      <w:bookmarkEnd w:id="89"/>
      <w:bookmarkEnd w:id="90"/>
      <w:bookmarkEnd w:id="91"/>
      <w:bookmarkEnd w:id="92"/>
    </w:tbl>
    <w:p>
      <w:pPr>
        <w:spacing w:line="590" w:lineRule="exact"/>
        <w:ind w:firstLine="640" w:firstLineChars="200"/>
        <w:outlineLvl w:val="0"/>
        <w:rPr>
          <w:rFonts w:eastAsia="黑体"/>
          <w:szCs w:val="32"/>
        </w:rPr>
      </w:pPr>
      <w:bookmarkStart w:id="142" w:name="_Toc62751203"/>
      <w:bookmarkStart w:id="143" w:name="_Toc721"/>
      <w:bookmarkStart w:id="144" w:name="_Toc62539243"/>
      <w:bookmarkStart w:id="145" w:name="_Toc65063878"/>
      <w:r>
        <w:rPr>
          <w:rFonts w:eastAsia="黑体"/>
          <w:szCs w:val="32"/>
        </w:rPr>
        <w:t>八、完善质量安全监管体系</w:t>
      </w:r>
      <w:bookmarkEnd w:id="142"/>
      <w:bookmarkEnd w:id="143"/>
      <w:bookmarkEnd w:id="144"/>
      <w:bookmarkEnd w:id="145"/>
      <w:r>
        <w:rPr>
          <w:rFonts w:eastAsia="黑体"/>
          <w:szCs w:val="32"/>
        </w:rPr>
        <w:tab/>
      </w:r>
    </w:p>
    <w:p>
      <w:pPr>
        <w:spacing w:line="590" w:lineRule="exact"/>
        <w:ind w:firstLine="640" w:firstLineChars="200"/>
        <w:outlineLvl w:val="1"/>
        <w:rPr>
          <w:rFonts w:eastAsia="楷体_GB2312"/>
          <w:bCs/>
          <w:szCs w:val="32"/>
        </w:rPr>
      </w:pPr>
      <w:bookmarkStart w:id="146" w:name="_Toc20426"/>
      <w:bookmarkStart w:id="147" w:name="_Toc62751204"/>
      <w:bookmarkStart w:id="148" w:name="_Toc65063879"/>
      <w:bookmarkStart w:id="149" w:name="_Toc62539244"/>
      <w:r>
        <w:rPr>
          <w:rFonts w:eastAsia="楷体_GB2312"/>
          <w:bCs/>
          <w:szCs w:val="32"/>
        </w:rPr>
        <w:t>（一）加强重点领域质量监管</w:t>
      </w:r>
      <w:bookmarkEnd w:id="146"/>
      <w:bookmarkEnd w:id="147"/>
      <w:bookmarkEnd w:id="148"/>
      <w:bookmarkEnd w:id="149"/>
    </w:p>
    <w:p>
      <w:pPr>
        <w:spacing w:line="590" w:lineRule="exact"/>
        <w:ind w:firstLine="640" w:firstLineChars="200"/>
        <w:rPr>
          <w:bCs/>
          <w:szCs w:val="32"/>
        </w:rPr>
      </w:pPr>
      <w:r>
        <w:rPr>
          <w:bCs/>
          <w:kern w:val="0"/>
          <w:szCs w:val="32"/>
        </w:rPr>
        <w:t>健</w:t>
      </w:r>
      <w:r>
        <w:rPr>
          <w:bCs/>
          <w:szCs w:val="32"/>
        </w:rPr>
        <w:t>全食品药品、农产品、特种设备、重点消费品等重点行业、重点产品质量分级分类监管机制，依托数字化智慧监管系统，提高行业、产品质量安全监管的精准性和有效性。加强新消费领域质量规范管理力度，压实电商平台、社交平台、搜索引擎等主体责任，规范电</w:t>
      </w:r>
      <w:r>
        <w:rPr>
          <w:szCs w:val="32"/>
        </w:rPr>
        <w:t>商、微商、直播购物等新消费领域。</w:t>
      </w:r>
      <w:r>
        <w:rPr>
          <w:bCs/>
          <w:szCs w:val="32"/>
        </w:rPr>
        <w:t>提升浙江工程质量管理水平，</w:t>
      </w:r>
      <w:r>
        <w:rPr>
          <w:szCs w:val="32"/>
        </w:rPr>
        <w:t>严肃查处各类安全生产违法违规行为，严格执行工程质量终身责任制、永久性标牌制、质量信息档案等制度，突出建设单位首位责任，落实施工单位主体责任，强化勘察设计单位源头把控。</w:t>
      </w:r>
      <w:r>
        <w:rPr>
          <w:bCs/>
          <w:szCs w:val="32"/>
        </w:rPr>
        <w:t>完善浙江环境监测网络，加强第三方环境检测机构质量管理，推进多方协同预警与联动治理，提升公共安全共管共治能力。</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专栏8-1  重点领域质量安全监管改革</w:t>
            </w:r>
          </w:p>
          <w:p>
            <w:pPr>
              <w:spacing w:line="370" w:lineRule="exact"/>
              <w:ind w:firstLine="480" w:firstLineChars="200"/>
              <w:rPr>
                <w:bCs/>
                <w:sz w:val="24"/>
              </w:rPr>
            </w:pPr>
            <w:r>
              <w:rPr>
                <w:rFonts w:eastAsia="楷体_GB2312"/>
                <w:bCs/>
                <w:sz w:val="24"/>
              </w:rPr>
              <w:t>产品质量全流程监管“一件事”改革。</w:t>
            </w:r>
            <w:r>
              <w:rPr>
                <w:bCs/>
                <w:sz w:val="24"/>
              </w:rPr>
              <w:t>按照法制化保障、数字化转型、市场化运作、社会化监督的原则，创新产品质量监管模式，构建融会贯通、有序高效的产品质量全流程监管体系，实现“碎片化分段监管”向“集成式闭环监管”转变。</w:t>
            </w:r>
          </w:p>
          <w:p>
            <w:pPr>
              <w:spacing w:line="370" w:lineRule="exact"/>
              <w:ind w:firstLine="480" w:firstLineChars="200"/>
              <w:rPr>
                <w:bCs/>
                <w:sz w:val="24"/>
              </w:rPr>
            </w:pPr>
            <w:r>
              <w:rPr>
                <w:rFonts w:eastAsia="楷体_GB2312"/>
                <w:bCs/>
                <w:sz w:val="24"/>
              </w:rPr>
              <w:t>食品安全从田头（车间）到餐桌全链条监管“一件事”改革。</w:t>
            </w:r>
            <w:r>
              <w:rPr>
                <w:bCs/>
                <w:sz w:val="24"/>
              </w:rPr>
              <w:t>加快食品安全从“事”到“治”“制”“智”的转变，打造食品安全治理精密智控和闭环管理体系，实现浙江地产食品和省外、境外输浙预包装食品和食用农产品一码统管，努力做到“厂厂（场场）阳光、批批检测，样样赋码、件件扫码，时时追溯、事事倒查”，最终达到“买卖明白、消费透明”。</w:t>
            </w:r>
          </w:p>
          <w:p>
            <w:pPr>
              <w:spacing w:line="370" w:lineRule="exact"/>
              <w:ind w:firstLine="480" w:firstLineChars="200"/>
              <w:rPr>
                <w:bCs/>
                <w:sz w:val="24"/>
              </w:rPr>
            </w:pPr>
            <w:r>
              <w:rPr>
                <w:rFonts w:eastAsia="楷体_GB2312"/>
                <w:bCs/>
                <w:sz w:val="24"/>
              </w:rPr>
              <w:t>药品（医疗器械、化妆品）全生命周期监管“一件事”改革。</w:t>
            </w:r>
            <w:r>
              <w:rPr>
                <w:sz w:val="24"/>
              </w:rPr>
              <w:t>以“保安全、促发展、争一流”为导向，深化数字赋能、协同智治，构建全生命周期数字药监平台，实现全领域、全过程、全场景、全业务“一窗受理”“一网通办”。</w:t>
            </w:r>
          </w:p>
          <w:p>
            <w:pPr>
              <w:spacing w:line="370" w:lineRule="exact"/>
              <w:ind w:firstLine="480" w:firstLineChars="200"/>
              <w:rPr>
                <w:b/>
                <w:bCs/>
                <w:sz w:val="24"/>
              </w:rPr>
            </w:pPr>
            <w:r>
              <w:rPr>
                <w:rFonts w:eastAsia="楷体_GB2312"/>
                <w:bCs/>
                <w:sz w:val="24"/>
              </w:rPr>
              <w:t>特种设备安全全周期监管“一件事”改革。</w:t>
            </w:r>
            <w:r>
              <w:rPr>
                <w:bCs/>
                <w:sz w:val="24"/>
              </w:rPr>
              <w:t>以数字化变革为动力，推动特种设备安全监管多环节贯通、多部门联动、多场景协同，加快特种设备从单一“人防”向“物防+技防+人防”并重转变，实现特种设备安全“一网统管全覆盖、一码通用全天候、一站贯通全过程、一键闭环全检索”的全周期数字化监管。</w:t>
            </w:r>
          </w:p>
        </w:tc>
      </w:tr>
    </w:tbl>
    <w:p>
      <w:pPr>
        <w:spacing w:line="590" w:lineRule="exact"/>
        <w:ind w:firstLine="640" w:firstLineChars="200"/>
        <w:outlineLvl w:val="1"/>
        <w:rPr>
          <w:rFonts w:eastAsia="楷体_GB2312"/>
          <w:bCs/>
          <w:szCs w:val="32"/>
        </w:rPr>
      </w:pPr>
      <w:bookmarkStart w:id="150" w:name="_Toc65063880"/>
      <w:bookmarkStart w:id="151" w:name="_Toc17143"/>
      <w:bookmarkStart w:id="152" w:name="_Toc62751205"/>
      <w:bookmarkStart w:id="153" w:name="_Toc62539245"/>
      <w:r>
        <w:rPr>
          <w:rFonts w:eastAsia="楷体_GB2312"/>
          <w:bCs/>
          <w:szCs w:val="32"/>
        </w:rPr>
        <w:t>（二）完善质量安全监管机制</w:t>
      </w:r>
      <w:bookmarkEnd w:id="150"/>
      <w:bookmarkEnd w:id="151"/>
      <w:bookmarkEnd w:id="152"/>
      <w:bookmarkEnd w:id="153"/>
    </w:p>
    <w:p>
      <w:pPr>
        <w:spacing w:line="590" w:lineRule="exact"/>
        <w:ind w:firstLine="643" w:firstLineChars="200"/>
        <w:rPr>
          <w:szCs w:val="32"/>
        </w:rPr>
      </w:pPr>
      <w:r>
        <w:rPr>
          <w:b/>
          <w:bCs/>
          <w:szCs w:val="32"/>
        </w:rPr>
        <w:t>加强质量信用监管机制建设。</w:t>
      </w:r>
      <w:r>
        <w:rPr>
          <w:szCs w:val="32"/>
        </w:rPr>
        <w:t>全面推行以“双随机、一公开”为基本手段、以重点监管为补充、以信用监管为基础的新型监管机制。加快完善质量信用信息归集公示共享机制，聚焦重点监管领域，推进企业信用风险预警与质量安全风险监测融合应用，科学应用“通用+专业”信用风险分类结果，对产品、企业、行业实施差异化监管，提高监管资源应用效率和监管精准性、靶向性。推行质量失信“黑名单”制度，建立质量失信惩戒措施清单，加大联合惩戒力度，强化信用约束。</w:t>
      </w:r>
    </w:p>
    <w:p>
      <w:pPr>
        <w:spacing w:line="590" w:lineRule="exact"/>
        <w:ind w:firstLine="643" w:firstLineChars="200"/>
        <w:rPr>
          <w:szCs w:val="32"/>
        </w:rPr>
      </w:pPr>
      <w:r>
        <w:rPr>
          <w:b/>
          <w:bCs/>
          <w:szCs w:val="32"/>
        </w:rPr>
        <w:t>健全质量安全可追溯机制。</w:t>
      </w:r>
      <w:r>
        <w:rPr>
          <w:szCs w:val="32"/>
        </w:rPr>
        <w:t>在食品、药品、建材、重点消费品等领域</w:t>
      </w:r>
      <w:r>
        <w:rPr>
          <w:bCs/>
          <w:szCs w:val="32"/>
        </w:rPr>
        <w:t>建立健全重点产品质量追溯体系和质量安全检验检测体系，深入开展质量安全风险监测、高风险产品监督抽查和缺陷产品调查，推进各类追溯信息互通共享，完善质量安全追溯链条，推动企业落实缺陷产品召回主体责任。</w:t>
      </w:r>
    </w:p>
    <w:p>
      <w:pPr>
        <w:spacing w:line="590" w:lineRule="exact"/>
        <w:ind w:firstLine="640" w:firstLineChars="200"/>
        <w:outlineLvl w:val="1"/>
        <w:rPr>
          <w:rFonts w:eastAsia="楷体_GB2312"/>
          <w:bCs/>
          <w:szCs w:val="32"/>
        </w:rPr>
      </w:pPr>
      <w:bookmarkStart w:id="154" w:name="_Toc21845"/>
      <w:bookmarkStart w:id="155" w:name="_Toc65063881"/>
      <w:bookmarkStart w:id="156" w:name="_Toc62751206"/>
      <w:r>
        <w:rPr>
          <w:rFonts w:eastAsia="楷体_GB2312"/>
          <w:bCs/>
          <w:szCs w:val="32"/>
        </w:rPr>
        <w:t>（三）构建质量安全防控体系</w:t>
      </w:r>
      <w:bookmarkEnd w:id="154"/>
      <w:bookmarkEnd w:id="155"/>
      <w:bookmarkEnd w:id="156"/>
    </w:p>
    <w:p>
      <w:pPr>
        <w:spacing w:line="590" w:lineRule="exact"/>
        <w:ind w:firstLine="643" w:firstLineChars="200"/>
        <w:rPr>
          <w:szCs w:val="32"/>
        </w:rPr>
      </w:pPr>
      <w:r>
        <w:rPr>
          <w:b/>
          <w:bCs/>
          <w:szCs w:val="32"/>
        </w:rPr>
        <w:t>建立质量安全风险防控机制。</w:t>
      </w:r>
      <w:r>
        <w:rPr>
          <w:bCs/>
          <w:szCs w:val="32"/>
        </w:rPr>
        <w:t>建立健全跨区域、跨部门质量协同监管机制。</w:t>
      </w:r>
      <w:r>
        <w:rPr>
          <w:szCs w:val="32"/>
        </w:rPr>
        <w:t>完善重大质量安全事件应急处置体系，制定风险应急预案，严格执行重大质量事故报告和应急处理制度，实施应急专项风险监测。严格落实产品抽检、信用评估信息定期发布，及时公开风险隐患排查日志、事故隐患报告等制度，建立风险预警信息及时（即时）发布机制。推动建设浙江省风险信息收集分析智慧平台、风险研判技术基础平台、风险信息快速预警和缺陷产品召回管理公共平台，构建全省技术能力库、研判专家库和国内外产品安全判定数据库，实现风险“早发现、早研判、早预警和早处置”。</w:t>
      </w:r>
    </w:p>
    <w:p>
      <w:pPr>
        <w:spacing w:line="590" w:lineRule="exact"/>
        <w:ind w:firstLine="643" w:firstLineChars="200"/>
        <w:rPr>
          <w:szCs w:val="32"/>
        </w:rPr>
      </w:pPr>
      <w:r>
        <w:rPr>
          <w:b/>
          <w:bCs/>
          <w:szCs w:val="32"/>
        </w:rPr>
        <w:t>严厉打击质量违法行为。</w:t>
      </w:r>
      <w:r>
        <w:rPr>
          <w:bCs/>
          <w:szCs w:val="32"/>
        </w:rPr>
        <w:t>健全假冒伪劣与不合格产品举报制度，加快探索严格产品责任和惩罚性赔偿制度机制。严肃处置重点领域质量安全违法，</w:t>
      </w:r>
      <w:r>
        <w:rPr>
          <w:szCs w:val="32"/>
        </w:rPr>
        <w:t>加大实体市场、网络市场违法查处力度和质量违法案件曝光力度。应用数字化监管手段，全面提升线上线下质量欺诈、经营失信、污染排查等领域的监管侦查防控能力，</w:t>
      </w:r>
      <w:r>
        <w:rPr>
          <w:bCs/>
          <w:szCs w:val="32"/>
        </w:rPr>
        <w:t>强化质量违法违规联合惩戒</w:t>
      </w:r>
      <w:r>
        <w:rPr>
          <w:szCs w:val="32"/>
        </w:rPr>
        <w:t>。强化行政执法与刑事司法的有效衔接，完善互联网司法新模式，构建一站式网上诉讼服务和司法公开体系。</w:t>
      </w:r>
    </w:p>
    <w:p>
      <w:pPr>
        <w:spacing w:line="590" w:lineRule="exact"/>
        <w:ind w:firstLine="640" w:firstLineChars="200"/>
        <w:outlineLvl w:val="1"/>
        <w:rPr>
          <w:rFonts w:eastAsia="楷体_GB2312"/>
          <w:bCs/>
          <w:szCs w:val="32"/>
        </w:rPr>
      </w:pPr>
      <w:bookmarkStart w:id="157" w:name="_Toc11258"/>
      <w:bookmarkStart w:id="158" w:name="_Toc62539248"/>
      <w:bookmarkStart w:id="159" w:name="_Toc62751207"/>
      <w:bookmarkStart w:id="160" w:name="_Toc65063882"/>
      <w:r>
        <w:rPr>
          <w:rFonts w:eastAsia="楷体_GB2312"/>
          <w:bCs/>
          <w:szCs w:val="32"/>
        </w:rPr>
        <w:t>（四）加快质量监管数字化</w:t>
      </w:r>
      <w:bookmarkEnd w:id="157"/>
      <w:bookmarkEnd w:id="158"/>
      <w:bookmarkEnd w:id="159"/>
      <w:r>
        <w:rPr>
          <w:rFonts w:eastAsia="楷体_GB2312"/>
          <w:bCs/>
          <w:szCs w:val="32"/>
        </w:rPr>
        <w:t>改革</w:t>
      </w:r>
      <w:bookmarkEnd w:id="160"/>
    </w:p>
    <w:p>
      <w:pPr>
        <w:spacing w:line="590" w:lineRule="exact"/>
        <w:ind w:firstLine="643" w:firstLineChars="200"/>
        <w:rPr>
          <w:szCs w:val="32"/>
        </w:rPr>
      </w:pPr>
      <w:r>
        <w:rPr>
          <w:b/>
          <w:szCs w:val="32"/>
        </w:rPr>
        <w:t>数字赋能质量管理体系。</w:t>
      </w:r>
      <w:r>
        <w:rPr>
          <w:bCs/>
          <w:szCs w:val="32"/>
        </w:rPr>
        <w:t>统筹运用数字化技术、数字化思维、数字化认知，对质量监管的体制机制、组织架构、方式流程、手段工具进行系统性重塑，</w:t>
      </w:r>
      <w:r>
        <w:rPr>
          <w:szCs w:val="32"/>
        </w:rPr>
        <w:t>推动质量监管全方位数字化转型。创新数字化质量管理、标准体系、品牌建设方法，构建以数字技术为支撑的全生命周期质量体系。加快物联网、区块链等技术在质量追溯体系中的应用，推动对产业链上下游和跨行业融合的数字化质量溯源管理，以全流程质量安全溯源落实生产者、经营者首负责任制。</w:t>
      </w:r>
    </w:p>
    <w:p>
      <w:pPr>
        <w:spacing w:line="590" w:lineRule="exact"/>
        <w:ind w:firstLine="643" w:firstLineChars="200"/>
        <w:rPr>
          <w:bCs/>
          <w:szCs w:val="32"/>
        </w:rPr>
      </w:pPr>
      <w:r>
        <w:rPr>
          <w:b/>
          <w:bCs/>
          <w:szCs w:val="32"/>
        </w:rPr>
        <w:t>打造数字化质量管理平台。</w:t>
      </w:r>
      <w:r>
        <w:rPr>
          <w:szCs w:val="32"/>
        </w:rPr>
        <w:t>整合各类质量监督检查信息与省大数据平台、企业信用信息公示平台、省统一行政执法监管平台对接互通，完善质量信用信息分级分类监管，提升监管精准性与高效性。重点推进“放心消费在浙江”智慧管理平台、特种设备安全综合管理平台、食品安全综合治理数字化平</w:t>
      </w:r>
      <w:r>
        <w:rPr>
          <w:bCs/>
          <w:szCs w:val="32"/>
        </w:rPr>
        <w:t>台、全国互联网广告监测平台、全国网络交易监测平台等重大项目建设，提升重点领域的质量监管能力。</w:t>
      </w:r>
    </w:p>
    <w:p>
      <w:pPr>
        <w:spacing w:line="590" w:lineRule="exact"/>
        <w:ind w:firstLine="643" w:firstLineChars="200"/>
        <w:rPr>
          <w:szCs w:val="32"/>
        </w:rPr>
      </w:pPr>
      <w:r>
        <w:rPr>
          <w:b/>
          <w:szCs w:val="32"/>
        </w:rPr>
        <w:t>推进场景化多业务协同应用。</w:t>
      </w:r>
      <w:r>
        <w:rPr>
          <w:bCs/>
          <w:szCs w:val="32"/>
        </w:rPr>
        <w:t>立足“场景化”“一件事”协同应用需求，</w:t>
      </w:r>
      <w:r>
        <w:rPr>
          <w:szCs w:val="32"/>
        </w:rPr>
        <w:t>构建食品药品安全“一库一图一码一指数”精密智控系统，创新打造浙江省食品安全追溯闭环管理系统（浙食链）、浙江省冷链食品追溯系统（浙冷链）等一批标志性应用场景，建设全生命周期“数字药监”系统。构建重点产品质量分级分类监管、质量安全风险预警处置、生产许可便捷审批、监督抽查全流程管理“四位一体”的产品质量智慧监管系统。</w:t>
      </w:r>
    </w:p>
    <w:p>
      <w:pPr>
        <w:spacing w:line="590" w:lineRule="exact"/>
        <w:ind w:firstLine="640" w:firstLineChars="200"/>
        <w:outlineLvl w:val="0"/>
        <w:rPr>
          <w:rFonts w:eastAsia="黑体"/>
          <w:kern w:val="44"/>
          <w:szCs w:val="32"/>
        </w:rPr>
      </w:pPr>
      <w:bookmarkStart w:id="161" w:name="_Toc62539249"/>
      <w:bookmarkStart w:id="162" w:name="_Toc62751208"/>
      <w:bookmarkStart w:id="163" w:name="_Toc65063883"/>
      <w:bookmarkStart w:id="164" w:name="_Toc19070"/>
      <w:r>
        <w:rPr>
          <w:rFonts w:eastAsia="黑体"/>
          <w:kern w:val="44"/>
          <w:szCs w:val="32"/>
        </w:rPr>
        <w:t>九、健全质量社会共治体系</w:t>
      </w:r>
      <w:bookmarkEnd w:id="161"/>
      <w:bookmarkEnd w:id="162"/>
      <w:bookmarkEnd w:id="163"/>
      <w:bookmarkEnd w:id="164"/>
    </w:p>
    <w:p>
      <w:pPr>
        <w:spacing w:line="590" w:lineRule="exact"/>
        <w:ind w:firstLine="640" w:firstLineChars="200"/>
        <w:outlineLvl w:val="1"/>
        <w:rPr>
          <w:rFonts w:eastAsia="楷体_GB2312"/>
          <w:bCs/>
          <w:szCs w:val="32"/>
        </w:rPr>
      </w:pPr>
      <w:bookmarkStart w:id="165" w:name="_Toc65063884"/>
      <w:bookmarkStart w:id="166" w:name="_Toc25737"/>
      <w:bookmarkStart w:id="167" w:name="_Toc62539250"/>
      <w:bookmarkStart w:id="168" w:name="_Toc62751209"/>
      <w:r>
        <w:rPr>
          <w:rFonts w:eastAsia="楷体_GB2312"/>
          <w:bCs/>
          <w:szCs w:val="32"/>
        </w:rPr>
        <w:t>（一）共促长三角质量提升</w:t>
      </w:r>
      <w:bookmarkEnd w:id="165"/>
      <w:bookmarkEnd w:id="166"/>
      <w:bookmarkEnd w:id="167"/>
      <w:bookmarkEnd w:id="168"/>
    </w:p>
    <w:p>
      <w:pPr>
        <w:spacing w:line="590" w:lineRule="exact"/>
        <w:ind w:firstLine="640" w:firstLineChars="200"/>
        <w:rPr>
          <w:szCs w:val="32"/>
        </w:rPr>
      </w:pPr>
      <w:r>
        <w:rPr>
          <w:bCs/>
          <w:szCs w:val="32"/>
        </w:rPr>
        <w:t>以质量提升、一体化为建设目标，建立健全协同共进的区域质量工作机制，聚焦长三角质量标准建设、重点产业领域质量协同监管、竞争政策实施协作、高技术服务业质量提升等重点领域，通过政府推动、市场主体、专业支撑，开创“优势互补、资源共享、区域协作、联动发展、合作共赢、质量共治”的长三角质量提升合作新模式</w:t>
      </w:r>
      <w:r>
        <w:rPr>
          <w:szCs w:val="32"/>
        </w:rPr>
        <w:t>。</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专栏9-1  长三角质量发展重点</w:t>
            </w:r>
          </w:p>
          <w:p>
            <w:pPr>
              <w:adjustRightInd w:val="0"/>
              <w:snapToGrid w:val="0"/>
              <w:spacing w:line="360" w:lineRule="exact"/>
              <w:ind w:firstLine="480" w:firstLineChars="200"/>
              <w:rPr>
                <w:rFonts w:eastAsia="楷体_GB2312"/>
                <w:bCs/>
                <w:sz w:val="24"/>
              </w:rPr>
            </w:pPr>
            <w:r>
              <w:rPr>
                <w:rFonts w:eastAsia="楷体_GB2312"/>
                <w:bCs/>
                <w:sz w:val="24"/>
              </w:rPr>
              <w:t>1.</w:t>
            </w:r>
            <w:r>
              <w:rPr>
                <w:rFonts w:hint="eastAsia" w:eastAsia="楷体_GB2312"/>
                <w:bCs/>
                <w:sz w:val="24"/>
              </w:rPr>
              <w:t xml:space="preserve"> </w:t>
            </w:r>
            <w:r>
              <w:rPr>
                <w:rFonts w:eastAsia="楷体_GB2312"/>
                <w:bCs/>
                <w:sz w:val="24"/>
              </w:rPr>
              <w:t>推进长三角质量标准建设一体化</w:t>
            </w:r>
          </w:p>
          <w:p>
            <w:pPr>
              <w:adjustRightInd w:val="0"/>
              <w:snapToGrid w:val="0"/>
              <w:spacing w:line="360" w:lineRule="exact"/>
              <w:ind w:firstLine="480" w:firstLineChars="200"/>
              <w:rPr>
                <w:bCs/>
                <w:sz w:val="24"/>
              </w:rPr>
            </w:pPr>
            <w:r>
              <w:rPr>
                <w:rFonts w:eastAsia="楷体_GB2312"/>
                <w:bCs/>
                <w:sz w:val="24"/>
              </w:rPr>
              <w:t>建立健全协同共进的区域标准化工作机制。</w:t>
            </w:r>
            <w:r>
              <w:rPr>
                <w:bCs/>
                <w:sz w:val="24"/>
              </w:rPr>
              <w:t>建立统一的区域标准化管理机制，统筹推进区域标准化重大改革、问题解决。建立区域标准培育示范机制和推广机制，推广“标准+认证”模式，助推产业转型升级和产品质量提升、区域标准有效实施。</w:t>
            </w:r>
          </w:p>
          <w:p>
            <w:pPr>
              <w:adjustRightInd w:val="0"/>
              <w:snapToGrid w:val="0"/>
              <w:spacing w:line="360" w:lineRule="exact"/>
              <w:ind w:firstLine="480" w:firstLineChars="200"/>
              <w:rPr>
                <w:bCs/>
                <w:sz w:val="24"/>
              </w:rPr>
            </w:pPr>
            <w:r>
              <w:rPr>
                <w:rFonts w:eastAsia="楷体_GB2312"/>
                <w:bCs/>
                <w:sz w:val="24"/>
              </w:rPr>
              <w:t>打造引领性示范性区域一体化标准体系。</w:t>
            </w:r>
            <w:r>
              <w:rPr>
                <w:bCs/>
                <w:sz w:val="24"/>
              </w:rPr>
              <w:t>积极参与国际标准化技术机构和国际标准修制订，推进长三角协同创新标准体系建设。参与制定各类交通服务标准体系、省际工业互联网建设相关的国家标识解析与标准体系。建立环境监测和风险预警标准，构建浙江生态保护标准体系样板。整合三省一市现有标准库资源，进行标准立项、发布、实施、评价、监督数字化协同管理云平台建设。</w:t>
            </w:r>
          </w:p>
          <w:p>
            <w:pPr>
              <w:adjustRightInd w:val="0"/>
              <w:snapToGrid w:val="0"/>
              <w:spacing w:line="340" w:lineRule="exact"/>
              <w:ind w:firstLine="480" w:firstLineChars="200"/>
              <w:rPr>
                <w:rFonts w:eastAsia="楷体_GB2312"/>
                <w:bCs/>
                <w:sz w:val="24"/>
              </w:rPr>
            </w:pPr>
            <w:r>
              <w:rPr>
                <w:rFonts w:eastAsia="楷体_GB2312"/>
                <w:bCs/>
                <w:sz w:val="24"/>
              </w:rPr>
              <w:t>2.</w:t>
            </w:r>
            <w:r>
              <w:rPr>
                <w:rFonts w:hint="eastAsia" w:eastAsia="楷体_GB2312"/>
                <w:bCs/>
                <w:sz w:val="24"/>
              </w:rPr>
              <w:t xml:space="preserve"> </w:t>
            </w:r>
            <w:r>
              <w:rPr>
                <w:rFonts w:eastAsia="楷体_GB2312"/>
                <w:bCs/>
                <w:sz w:val="24"/>
              </w:rPr>
              <w:t>推动长三角重点产业领域质量协同监管一体化</w:t>
            </w:r>
          </w:p>
          <w:p>
            <w:pPr>
              <w:adjustRightInd w:val="0"/>
              <w:snapToGrid w:val="0"/>
              <w:spacing w:line="340" w:lineRule="exact"/>
              <w:ind w:firstLine="480" w:firstLineChars="200"/>
              <w:rPr>
                <w:bCs/>
                <w:sz w:val="24"/>
              </w:rPr>
            </w:pPr>
            <w:r>
              <w:rPr>
                <w:bCs/>
                <w:sz w:val="24"/>
              </w:rPr>
              <w:t>加快长三角大宗商品储运交易计量服务平台建设，构建结果互认机制，服务长三角港口联盟和国际油气贸易中心；开展长三角地区重点消费品、重要工业产品等重点产品联动抽查、联动惩戒行动。</w:t>
            </w:r>
          </w:p>
          <w:p>
            <w:pPr>
              <w:adjustRightInd w:val="0"/>
              <w:snapToGrid w:val="0"/>
              <w:spacing w:line="340" w:lineRule="exact"/>
              <w:ind w:firstLine="480" w:firstLineChars="200"/>
              <w:rPr>
                <w:rFonts w:hint="eastAsia" w:eastAsia="楷体_GB2312"/>
                <w:bCs/>
                <w:sz w:val="24"/>
              </w:rPr>
            </w:pPr>
            <w:r>
              <w:rPr>
                <w:rFonts w:eastAsia="楷体_GB2312"/>
                <w:bCs/>
                <w:sz w:val="24"/>
              </w:rPr>
              <w:t>3.</w:t>
            </w:r>
            <w:r>
              <w:rPr>
                <w:rFonts w:hint="eastAsia" w:eastAsia="楷体_GB2312"/>
                <w:bCs/>
                <w:sz w:val="24"/>
              </w:rPr>
              <w:t xml:space="preserve"> </w:t>
            </w:r>
            <w:r>
              <w:rPr>
                <w:rFonts w:eastAsia="楷体_GB2312"/>
                <w:bCs/>
                <w:sz w:val="24"/>
              </w:rPr>
              <w:t>长三角高技术服务业质量提升示范试点建设</w:t>
            </w:r>
          </w:p>
          <w:p>
            <w:pPr>
              <w:adjustRightInd w:val="0"/>
              <w:snapToGrid w:val="0"/>
              <w:spacing w:line="340" w:lineRule="exact"/>
              <w:ind w:firstLine="480" w:firstLineChars="200"/>
              <w:rPr>
                <w:sz w:val="24"/>
              </w:rPr>
            </w:pPr>
            <w:r>
              <w:rPr>
                <w:bCs/>
                <w:sz w:val="24"/>
              </w:rPr>
              <w:t>主要依托宁波国家公共检验检测认证服务平台示范区，参与示范试点建设，通过区域合作、政企合作、行业合作、技术合作，多维度、立体化开展示范共建，共促检验检测认证行业高质量发展。</w:t>
            </w:r>
          </w:p>
        </w:tc>
      </w:tr>
    </w:tbl>
    <w:p>
      <w:pPr>
        <w:spacing w:line="560" w:lineRule="exact"/>
        <w:ind w:firstLine="640" w:firstLineChars="200"/>
        <w:outlineLvl w:val="1"/>
        <w:rPr>
          <w:rFonts w:eastAsia="楷体_GB2312"/>
          <w:bCs/>
          <w:szCs w:val="32"/>
        </w:rPr>
      </w:pPr>
      <w:bookmarkStart w:id="169" w:name="_Toc62751210"/>
      <w:bookmarkStart w:id="170" w:name="_Toc24271"/>
      <w:bookmarkStart w:id="171" w:name="_Toc62539251"/>
      <w:bookmarkStart w:id="172" w:name="_Toc65063885"/>
      <w:r>
        <w:rPr>
          <w:rFonts w:eastAsia="楷体_GB2312"/>
          <w:bCs/>
          <w:szCs w:val="32"/>
        </w:rPr>
        <w:t>（二）推进质量发展国际</w:t>
      </w:r>
      <w:bookmarkEnd w:id="169"/>
      <w:bookmarkEnd w:id="170"/>
      <w:bookmarkEnd w:id="171"/>
      <w:r>
        <w:rPr>
          <w:rFonts w:eastAsia="楷体_GB2312"/>
          <w:bCs/>
          <w:szCs w:val="32"/>
        </w:rPr>
        <w:t>合作</w:t>
      </w:r>
      <w:bookmarkEnd w:id="172"/>
    </w:p>
    <w:p>
      <w:pPr>
        <w:spacing w:line="560" w:lineRule="exact"/>
        <w:ind w:firstLine="640" w:firstLineChars="200"/>
        <w:rPr>
          <w:szCs w:val="32"/>
        </w:rPr>
      </w:pPr>
      <w:r>
        <w:rPr>
          <w:bCs/>
          <w:szCs w:val="32"/>
        </w:rPr>
        <w:t>加强国际标准创新合作，</w:t>
      </w:r>
      <w:r>
        <w:rPr>
          <w:szCs w:val="32"/>
        </w:rPr>
        <w:t>依托金砖国家标准化（浙江）研究中心、杭州国际标准化组织会议基地、中国计量大学“一带一路”研究与教育大学联盟等平台，大力开展国际标准交流合作，建立双（多）边标准化合作机制。争取更多国际和国家专业标准化技术委员会落户浙江，提高浙江标准开发合作水平和国际竞争优势，带动浙商、浙企、浙品“走出去”，鼓励我省企业参与国家标准外文版工作。实施标准联通共建行动，以“</w:t>
      </w:r>
      <w:r>
        <w:rPr>
          <w:bCs/>
          <w:szCs w:val="32"/>
        </w:rPr>
        <w:t>一带一路”沿线国家为重点，</w:t>
      </w:r>
      <w:r>
        <w:rPr>
          <w:szCs w:val="32"/>
        </w:rPr>
        <w:t>推动标准、检验检测、认证认可等质量技术基础互联互通，制定一批国际接受度高的行业和管理标准，培育一批有国际影响力的浙江品牌，积极争创国际三大质量奖，促进优势装备、产品、技术、服务、产能走出去。</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专栏9-2  质量发展国际合作重点</w:t>
            </w:r>
          </w:p>
          <w:p>
            <w:pPr>
              <w:adjustRightInd w:val="0"/>
              <w:snapToGrid w:val="0"/>
              <w:spacing w:line="320" w:lineRule="exact"/>
              <w:ind w:firstLine="480" w:firstLineChars="200"/>
              <w:rPr>
                <w:bCs/>
                <w:sz w:val="24"/>
              </w:rPr>
            </w:pPr>
            <w:r>
              <w:rPr>
                <w:rFonts w:eastAsia="楷体_GB2312"/>
                <w:bCs/>
                <w:sz w:val="24"/>
              </w:rPr>
              <w:t>认证认可国际化提升。</w:t>
            </w:r>
            <w:r>
              <w:rPr>
                <w:bCs/>
                <w:sz w:val="24"/>
              </w:rPr>
              <w:t>以杭州经济技术开发区、宁波国家高技术产业开发区、嘉兴科技城、绍兴滨海新区为核心，大力引进、培育壮大检验检测认证机构，加快检测技术的创新应用，提升全产业链、全生命周期检验检测认证认可服务能力，创建知名品牌，打造国际知名的检验检测认证行业集聚发展高地。</w:t>
            </w:r>
          </w:p>
          <w:p>
            <w:pPr>
              <w:adjustRightInd w:val="0"/>
              <w:snapToGrid w:val="0"/>
              <w:spacing w:line="320" w:lineRule="exact"/>
              <w:ind w:firstLine="480" w:firstLineChars="200"/>
              <w:rPr>
                <w:b/>
                <w:sz w:val="24"/>
              </w:rPr>
            </w:pPr>
            <w:r>
              <w:rPr>
                <w:rFonts w:eastAsia="楷体_GB2312"/>
                <w:bCs/>
                <w:sz w:val="24"/>
              </w:rPr>
              <w:t>标准国际化推进工程。</w:t>
            </w:r>
            <w:r>
              <w:rPr>
                <w:bCs/>
                <w:sz w:val="24"/>
              </w:rPr>
              <w:t>推动产业、外贸、金融、医药、政务服务、节能环保、人文、基础设施、海洋、基本公共服务等领域的合作，实施标准互联互通、对标对位、助力助跑行动，完善技术性贸易措施信息平台、标准化综合服务平台、标准联通共建平台的建设，不断提高我省与“一带一路”沿线国家和地区标准体系兼容水平。</w:t>
            </w:r>
          </w:p>
        </w:tc>
      </w:tr>
    </w:tbl>
    <w:p>
      <w:pPr>
        <w:spacing w:line="590" w:lineRule="exact"/>
        <w:ind w:firstLine="640" w:firstLineChars="200"/>
        <w:outlineLvl w:val="1"/>
        <w:rPr>
          <w:rFonts w:eastAsia="楷体_GB2312"/>
          <w:bCs/>
          <w:szCs w:val="32"/>
        </w:rPr>
      </w:pPr>
      <w:bookmarkStart w:id="173" w:name="_Toc23354"/>
      <w:bookmarkStart w:id="174" w:name="_Toc62751211"/>
      <w:bookmarkStart w:id="175" w:name="_Toc65063886"/>
      <w:bookmarkStart w:id="176" w:name="_Toc62539252"/>
      <w:r>
        <w:rPr>
          <w:rFonts w:eastAsia="楷体_GB2312"/>
          <w:bCs/>
          <w:szCs w:val="32"/>
        </w:rPr>
        <w:t>（三）强化知识产权保护</w:t>
      </w:r>
      <w:bookmarkEnd w:id="173"/>
      <w:bookmarkEnd w:id="174"/>
      <w:bookmarkEnd w:id="175"/>
      <w:bookmarkEnd w:id="176"/>
    </w:p>
    <w:p>
      <w:pPr>
        <w:spacing w:line="590" w:lineRule="exact"/>
        <w:ind w:firstLine="640" w:firstLineChars="200"/>
        <w:rPr>
          <w:szCs w:val="32"/>
        </w:rPr>
      </w:pPr>
      <w:r>
        <w:rPr>
          <w:szCs w:val="32"/>
        </w:rPr>
        <w:t>加快引领型知识产权强省建设，以知识产权“一件事”改革为主线，推动知识产权数量多起来、结构优起来、运用活起来、形象树起来。强化知识产权与质量、标准、品牌融合发展，将知识产权发展优势转化为产业创新优势、产品质量优势和市场竞争胜势。引导创新主体加强知识产权前瞻布局，强化关键技术领域自主知识产权创造和储备，打造一批高价值核心专利、知名品牌和国际标准，培育一批具备核心竞争力的知识产权密集型产业集群和拳头产品。强化全链条保护，构建知识产权严保护、大保护、快保护、同保护、智保护工作格局。加强民事司法和行政执法保护，落实惩罚性赔偿制度，逐步完善行业标准及规范，促进保护能力和水平整体提升。</w:t>
      </w:r>
    </w:p>
    <w:p>
      <w:pPr>
        <w:spacing w:line="590" w:lineRule="exact"/>
        <w:ind w:firstLine="640" w:firstLineChars="200"/>
        <w:outlineLvl w:val="1"/>
        <w:rPr>
          <w:rFonts w:eastAsia="楷体_GB2312"/>
          <w:bCs/>
          <w:szCs w:val="32"/>
        </w:rPr>
      </w:pPr>
      <w:bookmarkStart w:id="177" w:name="_Toc62539253"/>
      <w:bookmarkStart w:id="178" w:name="_Toc23411"/>
      <w:bookmarkStart w:id="179" w:name="_Toc62751212"/>
      <w:bookmarkStart w:id="180" w:name="_Toc5874"/>
      <w:bookmarkStart w:id="181" w:name="_Toc65063887"/>
      <w:r>
        <w:rPr>
          <w:rFonts w:eastAsia="楷体_GB2312"/>
          <w:bCs/>
          <w:szCs w:val="32"/>
        </w:rPr>
        <w:t>（四）构建</w:t>
      </w:r>
      <w:bookmarkEnd w:id="177"/>
      <w:bookmarkEnd w:id="178"/>
      <w:r>
        <w:rPr>
          <w:rFonts w:eastAsia="楷体_GB2312"/>
          <w:bCs/>
          <w:szCs w:val="32"/>
        </w:rPr>
        <w:t>多元治理新局面</w:t>
      </w:r>
      <w:bookmarkEnd w:id="179"/>
      <w:bookmarkEnd w:id="180"/>
      <w:bookmarkEnd w:id="181"/>
    </w:p>
    <w:p>
      <w:pPr>
        <w:spacing w:line="590" w:lineRule="exact"/>
        <w:ind w:firstLine="640" w:firstLineChars="200"/>
        <w:rPr>
          <w:szCs w:val="32"/>
        </w:rPr>
      </w:pPr>
      <w:r>
        <w:rPr>
          <w:szCs w:val="32"/>
        </w:rPr>
        <w:t>调动各方参与社会治理的积极性，构建主体自治、行业自律、社会监督、政府监管的质量社会共治新局面。加强质量社会监督和舆论监督，吸纳多方主体参与监管治理，提高全社会质量意识。壮大质量监督第三方认证机构，在政府部门有效监督的前提下，鼓励民间消费者组织、行业协会、产品质量体验机构等开展商品质量安全评价、比较试验、消费评议和消费者满意度调查，加强社会质量监督。进一步强化消费者权益保护，完善消费者投诉、举报和处理机制，建立商品质量惩罚性赔偿制度，强化消费者质量侵权损害赔偿，激发消费者主动维权意愿。</w:t>
      </w:r>
    </w:p>
    <w:p>
      <w:pPr>
        <w:spacing w:line="590" w:lineRule="exact"/>
        <w:ind w:firstLine="640" w:firstLineChars="200"/>
        <w:outlineLvl w:val="1"/>
        <w:rPr>
          <w:rFonts w:eastAsia="楷体_GB2312"/>
          <w:bCs/>
          <w:szCs w:val="32"/>
        </w:rPr>
      </w:pPr>
      <w:bookmarkStart w:id="182" w:name="_Toc65063888"/>
      <w:bookmarkStart w:id="183" w:name="_Toc14543"/>
      <w:bookmarkStart w:id="184" w:name="_Toc62539254"/>
      <w:bookmarkStart w:id="185" w:name="_Toc62751213"/>
      <w:r>
        <w:rPr>
          <w:rFonts w:eastAsia="楷体_GB2312"/>
          <w:bCs/>
          <w:szCs w:val="32"/>
        </w:rPr>
        <w:t>（五）繁荣社会质量文化</w:t>
      </w:r>
      <w:bookmarkEnd w:id="182"/>
      <w:bookmarkEnd w:id="183"/>
      <w:bookmarkEnd w:id="184"/>
      <w:bookmarkEnd w:id="185"/>
    </w:p>
    <w:p>
      <w:pPr>
        <w:spacing w:line="590" w:lineRule="exact"/>
        <w:ind w:firstLine="640" w:firstLineChars="200"/>
        <w:rPr>
          <w:szCs w:val="32"/>
        </w:rPr>
      </w:pPr>
      <w:r>
        <w:rPr>
          <w:szCs w:val="32"/>
        </w:rPr>
        <w:t>牢固树立“质量第一”意识，传承浙江质量基因，让崇尚质量、追求卓越成为全社会的价值导向和时代精神。实施质量文化建设工程，大力培育和弘扬“企业家精神”“工匠精神”，引导企业秉持质量为先、信誉至上的经营理念。推广先进质量管理方法和工具、质量标杆企业先进经验，全面开展质量宣传，促进全社会提升质量意识。办好“3.15”“质量月”“品牌日”“世界计量日”“世界认可日”“世界标准日”等活动。以2021年举办中国质量（杭州）大会为契机，开设中国质量大会“云上展馆”，开展“全省百场质量宣传活动”，全面营造浙江人人关心质量、人人创造质量、人人享受质量的良好社会氛围。</w:t>
      </w:r>
    </w:p>
    <w:p>
      <w:pPr>
        <w:spacing w:line="590" w:lineRule="exact"/>
        <w:ind w:firstLine="640" w:firstLineChars="200"/>
        <w:outlineLvl w:val="1"/>
        <w:rPr>
          <w:rFonts w:eastAsia="楷体_GB2312"/>
          <w:bCs/>
          <w:szCs w:val="32"/>
        </w:rPr>
      </w:pPr>
      <w:bookmarkStart w:id="186" w:name="_Toc62539255"/>
      <w:bookmarkStart w:id="187" w:name="_Toc23645"/>
      <w:bookmarkStart w:id="188" w:name="_Toc65063889"/>
      <w:bookmarkStart w:id="189" w:name="_Toc62751214"/>
      <w:r>
        <w:rPr>
          <w:rFonts w:eastAsia="楷体_GB2312"/>
          <w:bCs/>
          <w:szCs w:val="32"/>
        </w:rPr>
        <w:t>（六）加强质量人才培育</w:t>
      </w:r>
      <w:bookmarkEnd w:id="186"/>
      <w:bookmarkEnd w:id="187"/>
      <w:bookmarkEnd w:id="188"/>
      <w:bookmarkEnd w:id="189"/>
    </w:p>
    <w:p>
      <w:pPr>
        <w:spacing w:line="590" w:lineRule="exact"/>
        <w:ind w:firstLine="640" w:firstLineChars="200"/>
        <w:rPr>
          <w:kern w:val="0"/>
          <w:szCs w:val="32"/>
        </w:rPr>
      </w:pPr>
      <w:r>
        <w:rPr>
          <w:kern w:val="0"/>
          <w:szCs w:val="32"/>
        </w:rPr>
        <w:t>依托浙江大学、中国计量大学等高校、科研院所推进质量和标准相关专业学科建设，支持成立质量和标准学院、高端智库。推动高校、专业机构、龙头企业建立质量与标准化人才培训与实践基地，探索应用产教融合模式，培养面向产业的复合型技能人才。加大对国际质量、标准人才的培养和引进力度，建设国际质量、标准人才培训基地，加强与ISO、IEC等国际标准组织机构的交流合作，全面参与国际标准组织政策和规则制定。实施一批质量人才培育重点工程，完善质量专业技术人才评价标准，强化质量管理实践的职称评审导向。</w:t>
      </w:r>
    </w:p>
    <w:tbl>
      <w:tblPr>
        <w:tblStyle w:val="2"/>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57"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57" w:type="dxa"/>
            <w:right w:w="57" w:type="dxa"/>
          </w:tblCellMar>
        </w:tblPrEx>
        <w:trPr>
          <w:trHeight w:val="20" w:hRule="atLeast"/>
          <w:jc w:val="center"/>
        </w:trPr>
        <w:tc>
          <w:tcPr>
            <w:tcW w:w="8845" w:type="dxa"/>
            <w:vAlign w:val="top"/>
          </w:tcPr>
          <w:p>
            <w:pPr>
              <w:spacing w:before="240" w:beforeLines="100" w:after="240" w:afterLines="100" w:line="360" w:lineRule="exact"/>
              <w:jc w:val="center"/>
              <w:rPr>
                <w:rFonts w:eastAsia="黑体"/>
                <w:bCs/>
                <w:sz w:val="28"/>
              </w:rPr>
            </w:pPr>
            <w:r>
              <w:rPr>
                <w:rFonts w:eastAsia="黑体"/>
                <w:bCs/>
                <w:sz w:val="28"/>
              </w:rPr>
              <w:t>专栏9-3  质量人才培育重点工程</w:t>
            </w:r>
          </w:p>
          <w:p>
            <w:pPr>
              <w:adjustRightInd w:val="0"/>
              <w:snapToGrid w:val="0"/>
              <w:spacing w:line="360" w:lineRule="exact"/>
              <w:ind w:firstLine="480" w:firstLineChars="200"/>
              <w:rPr>
                <w:bCs/>
                <w:sz w:val="24"/>
              </w:rPr>
            </w:pPr>
            <w:r>
              <w:rPr>
                <w:rFonts w:eastAsia="楷体_GB2312"/>
                <w:bCs/>
                <w:sz w:val="24"/>
              </w:rPr>
              <w:t>新时代浙江工匠培育工程。</w:t>
            </w:r>
            <w:r>
              <w:rPr>
                <w:bCs/>
                <w:sz w:val="24"/>
              </w:rPr>
              <w:t>围绕全球先进制造业产业集群建设，以培育知识型、创新性、复合型高技能人才为重点，着力深化技能人才培养体制机制改革，加快构建“产教训”融合、“政企社”协同、“育选用”贯通的技能人才培育体系，开展“匠苗”成长、“匠才”培养、竞赛锤炼、工匠遴选、技能创新5项行动。</w:t>
            </w:r>
          </w:p>
          <w:p>
            <w:pPr>
              <w:adjustRightInd w:val="0"/>
              <w:snapToGrid w:val="0"/>
              <w:spacing w:line="360" w:lineRule="exact"/>
              <w:ind w:firstLine="480" w:firstLineChars="200"/>
              <w:rPr>
                <w:bCs/>
                <w:sz w:val="24"/>
              </w:rPr>
            </w:pPr>
            <w:r>
              <w:rPr>
                <w:rFonts w:eastAsia="楷体_GB2312"/>
                <w:bCs/>
                <w:sz w:val="24"/>
              </w:rPr>
              <w:t>知识更新工程。</w:t>
            </w:r>
            <w:r>
              <w:rPr>
                <w:bCs/>
                <w:sz w:val="24"/>
              </w:rPr>
              <w:t>为社会大众提供工序课程培训、高级研修班，以及包括战略性新兴产业、工业设计、企业经营管理、海洋科技、食品、药品、现代农业、高素质教育、医疗卫生等经济和社会发展重点领域人才培训项目，大力提升质量专业技术人才队伍能力素质。</w:t>
            </w:r>
          </w:p>
          <w:p>
            <w:pPr>
              <w:adjustRightInd w:val="0"/>
              <w:snapToGrid w:val="0"/>
              <w:spacing w:line="360" w:lineRule="exact"/>
              <w:ind w:firstLine="480" w:firstLineChars="200"/>
              <w:rPr>
                <w:kern w:val="0"/>
                <w:sz w:val="24"/>
              </w:rPr>
            </w:pPr>
            <w:r>
              <w:rPr>
                <w:rFonts w:eastAsia="楷体_GB2312"/>
                <w:bCs/>
                <w:sz w:val="24"/>
              </w:rPr>
              <w:t>“金蓝领”职业技能提升行动。</w:t>
            </w:r>
            <w:r>
              <w:rPr>
                <w:bCs/>
                <w:sz w:val="24"/>
              </w:rPr>
              <w:t>聚焦我省数字经济、先进制造业、民生服务业、现代农业等关键领域和我省在“互联网+”、生命健康、新材料三大科创高地建设发展过程中涌现出的新职业新岗位，大规模开展有针对性的职业技能培训，完善政府引导、企业主体、社会参与、劳动者共享的职业技能培训机制，基本建立覆盖城乡劳动者的终身职业技能培训制度。</w:t>
            </w:r>
          </w:p>
        </w:tc>
      </w:tr>
    </w:tbl>
    <w:p>
      <w:pPr>
        <w:spacing w:line="590" w:lineRule="exact"/>
        <w:ind w:firstLine="640" w:firstLineChars="200"/>
        <w:outlineLvl w:val="0"/>
        <w:rPr>
          <w:rFonts w:eastAsia="黑体"/>
          <w:kern w:val="44"/>
          <w:szCs w:val="32"/>
        </w:rPr>
      </w:pPr>
      <w:bookmarkStart w:id="190" w:name="_Toc61615689"/>
      <w:bookmarkStart w:id="191" w:name="_Toc62539256"/>
      <w:bookmarkStart w:id="192" w:name="_Toc62751215"/>
      <w:bookmarkStart w:id="193" w:name="_Toc32185"/>
      <w:bookmarkStart w:id="194" w:name="_Toc65063890"/>
      <w:r>
        <w:rPr>
          <w:rFonts w:eastAsia="黑体"/>
          <w:kern w:val="44"/>
          <w:szCs w:val="32"/>
        </w:rPr>
        <w:t>十、保障</w:t>
      </w:r>
      <w:bookmarkEnd w:id="190"/>
      <w:bookmarkEnd w:id="191"/>
      <w:r>
        <w:rPr>
          <w:rFonts w:eastAsia="黑体"/>
          <w:kern w:val="44"/>
          <w:szCs w:val="32"/>
        </w:rPr>
        <w:t>措施</w:t>
      </w:r>
      <w:bookmarkEnd w:id="192"/>
      <w:bookmarkEnd w:id="193"/>
      <w:bookmarkEnd w:id="194"/>
    </w:p>
    <w:p>
      <w:pPr>
        <w:spacing w:line="590" w:lineRule="exact"/>
        <w:ind w:firstLine="640" w:firstLineChars="200"/>
        <w:outlineLvl w:val="1"/>
        <w:rPr>
          <w:rFonts w:eastAsia="楷体_GB2312"/>
          <w:bCs/>
          <w:szCs w:val="32"/>
        </w:rPr>
      </w:pPr>
      <w:bookmarkStart w:id="195" w:name="_Toc65063891"/>
      <w:bookmarkStart w:id="196" w:name="_Toc62751216"/>
      <w:bookmarkStart w:id="197" w:name="_Toc16192"/>
      <w:bookmarkStart w:id="198" w:name="_Toc61615690"/>
      <w:bookmarkStart w:id="199" w:name="_Toc62539257"/>
      <w:r>
        <w:rPr>
          <w:rFonts w:eastAsia="楷体_GB2312"/>
          <w:bCs/>
          <w:szCs w:val="32"/>
        </w:rPr>
        <w:t>（一）加强组织领导</w:t>
      </w:r>
      <w:bookmarkEnd w:id="195"/>
      <w:bookmarkEnd w:id="196"/>
      <w:bookmarkEnd w:id="197"/>
      <w:bookmarkEnd w:id="198"/>
      <w:bookmarkEnd w:id="199"/>
    </w:p>
    <w:p>
      <w:pPr>
        <w:spacing w:line="590" w:lineRule="exact"/>
        <w:ind w:firstLine="640" w:firstLineChars="200"/>
        <w:rPr>
          <w:kern w:val="0"/>
          <w:szCs w:val="32"/>
        </w:rPr>
      </w:pPr>
      <w:r>
        <w:rPr>
          <w:kern w:val="0"/>
          <w:szCs w:val="32"/>
        </w:rPr>
        <w:t>充分发挥浙江省质量强省工作领导小组作用，强化对全省“三强”建设工作的统一领导和统筹协调，组织开展对本规划实施情况的跟踪分析和督查检查。进一步强化省级“三强”建设工作协同机制，形成发展合力。各级政府、各有关部门按照本规划的部署和要求，将“三强”建设工作列入重要议事日程，明确目标任务，压实工作责任，切实提升组织保障水平。</w:t>
      </w:r>
    </w:p>
    <w:p>
      <w:pPr>
        <w:spacing w:line="590" w:lineRule="exact"/>
        <w:ind w:firstLine="640" w:firstLineChars="200"/>
        <w:outlineLvl w:val="1"/>
        <w:rPr>
          <w:rFonts w:eastAsia="楷体_GB2312"/>
          <w:bCs/>
          <w:szCs w:val="32"/>
        </w:rPr>
      </w:pPr>
      <w:bookmarkStart w:id="200" w:name="_Toc62751217"/>
      <w:bookmarkStart w:id="201" w:name="_Toc27847"/>
      <w:bookmarkStart w:id="202" w:name="_Toc61615691"/>
      <w:bookmarkStart w:id="203" w:name="_Toc62539258"/>
      <w:bookmarkStart w:id="204" w:name="_Toc65063892"/>
      <w:r>
        <w:rPr>
          <w:rFonts w:eastAsia="楷体_GB2312"/>
          <w:bCs/>
          <w:szCs w:val="32"/>
        </w:rPr>
        <w:t>（二）强化政策支撑</w:t>
      </w:r>
      <w:bookmarkEnd w:id="200"/>
      <w:bookmarkEnd w:id="201"/>
      <w:bookmarkEnd w:id="202"/>
      <w:bookmarkEnd w:id="203"/>
      <w:bookmarkEnd w:id="204"/>
    </w:p>
    <w:p>
      <w:pPr>
        <w:spacing w:line="590" w:lineRule="exact"/>
        <w:ind w:firstLine="640" w:firstLineChars="200"/>
        <w:rPr>
          <w:kern w:val="0"/>
          <w:szCs w:val="32"/>
        </w:rPr>
      </w:pPr>
      <w:r>
        <w:rPr>
          <w:kern w:val="0"/>
          <w:szCs w:val="32"/>
        </w:rPr>
        <w:t>各级政府、各有关部门要围绕“三强”建设加强政策引导，制定各地区各行业促进质量发展的相关配套政策和措施，着力完善相关产业、环境、科技、金融、财政、人才等扶持政策，确保各项工作目标得以实现。统筹协调涉及质量工作的相关资金，加强对质量提升、标准化、品牌建设、检验检测与公共服务平台建设等方面的经费保障。鼓励社会组织发起设立质量发展基金，实行市场化运作。</w:t>
      </w:r>
    </w:p>
    <w:p>
      <w:pPr>
        <w:spacing w:line="590" w:lineRule="exact"/>
        <w:ind w:firstLine="640" w:firstLineChars="200"/>
        <w:outlineLvl w:val="1"/>
        <w:rPr>
          <w:rFonts w:eastAsia="楷体_GB2312"/>
          <w:bCs/>
          <w:kern w:val="0"/>
          <w:szCs w:val="32"/>
        </w:rPr>
      </w:pPr>
      <w:bookmarkStart w:id="205" w:name="_Toc9485"/>
      <w:bookmarkStart w:id="206" w:name="_Toc65063893"/>
      <w:r>
        <w:rPr>
          <w:rFonts w:eastAsia="楷体_GB2312"/>
          <w:bCs/>
          <w:szCs w:val="32"/>
        </w:rPr>
        <w:t>（三）优化法治环境</w:t>
      </w:r>
      <w:bookmarkEnd w:id="205"/>
      <w:bookmarkEnd w:id="206"/>
    </w:p>
    <w:p>
      <w:pPr>
        <w:spacing w:line="590" w:lineRule="exact"/>
        <w:ind w:firstLine="640" w:firstLineChars="200"/>
        <w:rPr>
          <w:szCs w:val="32"/>
        </w:rPr>
      </w:pPr>
      <w:bookmarkStart w:id="207" w:name="_Toc62751218"/>
      <w:bookmarkStart w:id="208" w:name="_Toc62539260"/>
      <w:bookmarkStart w:id="209" w:name="_Toc61615693"/>
      <w:r>
        <w:rPr>
          <w:kern w:val="0"/>
          <w:szCs w:val="32"/>
        </w:rPr>
        <w:t>修订出台《浙江省标准化条例》，启动修订《浙江省产品质量监督条例》，开展《浙江省质量促进条例》立法研究，进一步健全适应我省经济社会发展的质量相关法规政策体系，提高全社会质量法治意识。加大对侵犯质量技术、标准、品牌等权益违法行为的行政执法力度，加强司法保护，依法实施知识产权惩罚性赔偿制度。全面提升质量行政执法现代化水平，完善质量执法监督机制，全面落实行政执法责任制，做到有法可依、有法必依、执法必严、违法必纠。</w:t>
      </w:r>
      <w:bookmarkEnd w:id="207"/>
      <w:bookmarkEnd w:id="208"/>
      <w:bookmarkEnd w:id="209"/>
    </w:p>
    <w:p>
      <w:pPr>
        <w:spacing w:line="590" w:lineRule="exact"/>
        <w:ind w:firstLine="640" w:firstLineChars="200"/>
        <w:outlineLvl w:val="1"/>
        <w:rPr>
          <w:rFonts w:eastAsia="楷体_GB2312"/>
          <w:bCs/>
          <w:szCs w:val="32"/>
        </w:rPr>
      </w:pPr>
      <w:bookmarkStart w:id="210" w:name="_Toc61615694"/>
      <w:bookmarkStart w:id="211" w:name="_Toc62751219"/>
      <w:bookmarkStart w:id="212" w:name="_Toc65063894"/>
      <w:bookmarkStart w:id="213" w:name="_Toc13337"/>
      <w:bookmarkStart w:id="214" w:name="_Toc62539261"/>
      <w:r>
        <w:rPr>
          <w:rFonts w:eastAsia="楷体_GB2312"/>
          <w:bCs/>
          <w:szCs w:val="32"/>
        </w:rPr>
        <w:t>（四）完善考核评价</w:t>
      </w:r>
      <w:bookmarkEnd w:id="210"/>
      <w:bookmarkEnd w:id="211"/>
      <w:bookmarkEnd w:id="212"/>
      <w:bookmarkEnd w:id="213"/>
      <w:bookmarkEnd w:id="214"/>
    </w:p>
    <w:p>
      <w:pPr>
        <w:spacing w:line="590" w:lineRule="exact"/>
        <w:ind w:firstLine="640" w:firstLineChars="200"/>
        <w:rPr>
          <w:szCs w:val="32"/>
        </w:rPr>
      </w:pPr>
      <w:r>
        <w:rPr>
          <w:kern w:val="0"/>
          <w:szCs w:val="32"/>
        </w:rPr>
        <w:t>各级政府、各有关部门要建立落实本规划的工作责任制，抓好发展目标、主要任务和重大工程的责任分解和落实，对规划的实施情况进行严格检查考核，务求各项工作落到实处，确保“三强”建设取得实效。完善“三强”建设工作年度统计、考核体系，开展规划实施年度监测、中期评估和总结评估，将“三强”建设重点目标完成情况纳入地方政府和相关部门的绩效考核，确保各项工作有效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FE132"/>
    <w:rsid w:val="0FA17C8D"/>
    <w:rsid w:val="F7BFE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2021-06-16T11:29:00Z</dcterms:created>
  <dc:creator>chanvictor</dc:creator>
  <cp:lastModifiedBy>林钰淳</cp:lastModifiedBy>
  <dcterms:modified xsi:type="dcterms:W3CDTF">2021-08-02T03:21:08Z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