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90" w:lineRule="exact"/>
        <w:ind w:firstLine="640" w:firstLineChars="200"/>
        <w:rPr>
          <w:rFonts w:eastAsia="方正小标宋简体"/>
          <w:szCs w:val="32"/>
        </w:rPr>
      </w:pPr>
    </w:p>
    <w:p>
      <w:pPr>
        <w:overflowPunct w:val="0"/>
        <w:spacing w:line="590" w:lineRule="exact"/>
        <w:jc w:val="center"/>
        <w:rPr>
          <w:rFonts w:eastAsia="方正小标宋简体"/>
          <w:bCs/>
          <w:sz w:val="44"/>
          <w:szCs w:val="44"/>
        </w:rPr>
      </w:pPr>
      <w:r>
        <w:rPr>
          <w:rFonts w:eastAsia="方正小标宋简体"/>
          <w:bCs/>
          <w:sz w:val="44"/>
          <w:szCs w:val="44"/>
        </w:rPr>
        <w:t>浙江省人力资源和社会保障</w:t>
      </w:r>
    </w:p>
    <w:p>
      <w:pPr>
        <w:overflowPunct w:val="0"/>
        <w:spacing w:before="120" w:beforeLines="50" w:line="590" w:lineRule="exact"/>
        <w:jc w:val="center"/>
        <w:rPr>
          <w:rFonts w:eastAsia="方正小标宋简体"/>
          <w:bCs/>
          <w:sz w:val="44"/>
          <w:szCs w:val="44"/>
        </w:rPr>
      </w:pPr>
      <w:r>
        <w:rPr>
          <w:rFonts w:eastAsia="方正小标宋简体"/>
          <w:bCs/>
          <w:sz w:val="44"/>
          <w:szCs w:val="44"/>
        </w:rPr>
        <w:t>事业发展“十四五”规划</w:t>
      </w:r>
    </w:p>
    <w:p>
      <w:pPr>
        <w:pStyle w:val="7"/>
        <w:overflowPunct w:val="0"/>
        <w:spacing w:before="0" w:beforeAutospacing="0" w:after="0" w:afterAutospacing="0" w:line="590" w:lineRule="exact"/>
        <w:ind w:firstLine="640" w:firstLineChars="200"/>
        <w:jc w:val="both"/>
        <w:rPr>
          <w:sz w:val="32"/>
          <w:szCs w:val="32"/>
        </w:rPr>
      </w:pPr>
    </w:p>
    <w:p>
      <w:pPr>
        <w:overflowPunct w:val="0"/>
        <w:spacing w:line="590" w:lineRule="exact"/>
        <w:ind w:firstLine="640" w:firstLineChars="200"/>
        <w:rPr>
          <w:szCs w:val="32"/>
        </w:rPr>
      </w:pPr>
      <w:r>
        <w:rPr>
          <w:szCs w:val="32"/>
        </w:rPr>
        <w:t>浙江省人力资源和社会保障事业发展“十四五”规划，根据国家人力资源和社会保障事业发展“十四五”规划相关工作要求和《浙江省国民经济和社会发展第十四个五年规划和二〇三五年远景目标纲要》等编制，主要阐明“十四五”时期浙江省人力资源和社会保障事业发展的总体思路、发展目标、主要任务和重大举措，是浙江未来5年人力资源和社会保障工作的指导性文件。</w:t>
      </w:r>
    </w:p>
    <w:p>
      <w:pPr>
        <w:overflowPunct w:val="0"/>
        <w:spacing w:line="590" w:lineRule="exact"/>
        <w:ind w:firstLine="640" w:firstLineChars="200"/>
        <w:rPr>
          <w:rFonts w:eastAsia="黑体"/>
          <w:szCs w:val="32"/>
        </w:rPr>
      </w:pPr>
      <w:bookmarkStart w:id="0" w:name="_Toc178872189"/>
      <w:bookmarkStart w:id="1" w:name="_Toc78529336"/>
      <w:bookmarkStart w:id="2" w:name="_Toc444032904"/>
      <w:bookmarkStart w:id="3" w:name="_Toc530351129"/>
      <w:bookmarkStart w:id="4" w:name="_Toc973085535"/>
      <w:r>
        <w:rPr>
          <w:rFonts w:eastAsia="黑体"/>
          <w:szCs w:val="32"/>
        </w:rPr>
        <w:t>一、</w:t>
      </w:r>
      <w:bookmarkEnd w:id="0"/>
      <w:bookmarkEnd w:id="1"/>
      <w:bookmarkEnd w:id="2"/>
      <w:bookmarkEnd w:id="3"/>
      <w:bookmarkEnd w:id="4"/>
      <w:r>
        <w:rPr>
          <w:rFonts w:eastAsia="黑体"/>
          <w:szCs w:val="32"/>
        </w:rPr>
        <w:t>规划背景</w:t>
      </w:r>
    </w:p>
    <w:p>
      <w:pPr>
        <w:overflowPunct w:val="0"/>
        <w:spacing w:line="590" w:lineRule="exact"/>
        <w:ind w:firstLine="640" w:firstLineChars="200"/>
        <w:rPr>
          <w:szCs w:val="32"/>
        </w:rPr>
      </w:pPr>
      <w:bookmarkStart w:id="5" w:name="_Toc1989605797"/>
      <w:bookmarkStart w:id="6" w:name="_Toc650193046"/>
      <w:bookmarkStart w:id="7" w:name="_Toc1740571589"/>
      <w:bookmarkStart w:id="8" w:name="_Toc1761755095"/>
      <w:bookmarkStart w:id="9" w:name="_Toc78529337"/>
      <w:r>
        <w:rPr>
          <w:rFonts w:eastAsia="楷体_GB2312"/>
          <w:szCs w:val="32"/>
        </w:rPr>
        <w:t>（一）发展基础</w:t>
      </w:r>
      <w:bookmarkEnd w:id="5"/>
      <w:bookmarkEnd w:id="6"/>
      <w:bookmarkEnd w:id="7"/>
      <w:bookmarkEnd w:id="8"/>
      <w:bookmarkEnd w:id="9"/>
      <w:r>
        <w:rPr>
          <w:rFonts w:eastAsia="楷体_GB2312"/>
          <w:szCs w:val="32"/>
        </w:rPr>
        <w:t>。</w:t>
      </w:r>
      <w:r>
        <w:rPr>
          <w:szCs w:val="32"/>
        </w:rPr>
        <w:t>“十三五”时期，面对错综复杂的国际形势、艰巨繁重的国内改革发展稳定任务，特别是新冠肺炎疫情严重冲击，全省人力资源和社会保障工作稳中求进、进中突破，“十三五”规划主要目标任务顺利完成。就业局势保持稳定，就业结构更加优化，重点群体就业帮扶扎实开展，创业带动就业成效显著。社会保障制度进一步完善，覆盖面持续扩大，保障水平逐步提高。人才队伍不断壮大，技术技能人才引育数量质量双提升，人力资源服务能力明显增强，事业单位人事制度改革稳步推进。劳动关系和谐稳定，劳动人事争议处理效能不断提升，欠薪治理工作取得新成效。工资收入分配秩序更加规范有序。人社领域“最多跑一次”改革和数字化转型成效显著，公共服务体系更加健全、标准更加完善、水平进一步提高。“十三五”时期浙江省人力资源和社会保障事业发展迈上了新台阶，为维护改革发展稳定大局作出了积极贡献，也为“十四五”时期浙江经济社会进一步发展奠定了坚实基础。</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4474"/>
        <w:gridCol w:w="1439"/>
        <w:gridCol w:w="1472"/>
        <w:gridCol w:w="14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spacing w:before="240" w:beforeLines="100" w:after="240" w:afterLines="100" w:line="360" w:lineRule="exact"/>
              <w:jc w:val="center"/>
              <w:rPr>
                <w:rFonts w:eastAsia="黑体"/>
                <w:sz w:val="28"/>
                <w:szCs w:val="28"/>
              </w:rPr>
            </w:pPr>
            <w:bookmarkStart w:id="10" w:name="_Toc869045494"/>
            <w:bookmarkStart w:id="11" w:name="_Toc368255726"/>
            <w:bookmarkStart w:id="12" w:name="_Toc899478451"/>
            <w:bookmarkStart w:id="13" w:name="_Toc1853114100"/>
            <w:r>
              <w:rPr>
                <w:rFonts w:eastAsia="黑体"/>
                <w:sz w:val="28"/>
                <w:szCs w:val="28"/>
              </w:rPr>
              <w:t>专栏1  “十三五”时期主要指标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jc w:val="center"/>
              <w:rPr>
                <w:rFonts w:eastAsia="黑体"/>
                <w:sz w:val="24"/>
              </w:rPr>
            </w:pPr>
            <w:r>
              <w:rPr>
                <w:rFonts w:eastAsia="黑体"/>
                <w:sz w:val="24"/>
              </w:rPr>
              <w:t>指</w:t>
            </w:r>
            <w:r>
              <w:rPr>
                <w:rFonts w:hint="eastAsia" w:eastAsia="黑体"/>
                <w:sz w:val="24"/>
              </w:rPr>
              <w:t xml:space="preserve">    </w:t>
            </w:r>
            <w:r>
              <w:rPr>
                <w:rFonts w:eastAsia="黑体"/>
                <w:sz w:val="24"/>
              </w:rPr>
              <w:t>标</w:t>
            </w:r>
          </w:p>
        </w:tc>
        <w:tc>
          <w:tcPr>
            <w:tcW w:w="1439" w:type="dxa"/>
            <w:vAlign w:val="center"/>
          </w:tcPr>
          <w:p>
            <w:pPr>
              <w:overflowPunct w:val="0"/>
              <w:jc w:val="center"/>
              <w:rPr>
                <w:rFonts w:eastAsia="黑体"/>
                <w:sz w:val="24"/>
              </w:rPr>
            </w:pPr>
            <w:r>
              <w:rPr>
                <w:rFonts w:eastAsia="黑体"/>
                <w:sz w:val="24"/>
              </w:rPr>
              <w:t>2015年</w:t>
            </w:r>
          </w:p>
          <w:p>
            <w:pPr>
              <w:overflowPunct w:val="0"/>
              <w:jc w:val="center"/>
              <w:rPr>
                <w:rFonts w:eastAsia="黑体"/>
                <w:sz w:val="24"/>
              </w:rPr>
            </w:pPr>
            <w:r>
              <w:rPr>
                <w:rFonts w:eastAsia="黑体"/>
                <w:sz w:val="24"/>
              </w:rPr>
              <w:t>基数</w:t>
            </w:r>
          </w:p>
        </w:tc>
        <w:tc>
          <w:tcPr>
            <w:tcW w:w="1472" w:type="dxa"/>
            <w:vAlign w:val="center"/>
          </w:tcPr>
          <w:p>
            <w:pPr>
              <w:overflowPunct w:val="0"/>
              <w:jc w:val="center"/>
              <w:rPr>
                <w:rFonts w:hint="eastAsia" w:eastAsia="黑体"/>
                <w:sz w:val="24"/>
              </w:rPr>
            </w:pPr>
            <w:r>
              <w:rPr>
                <w:rFonts w:eastAsia="黑体"/>
                <w:sz w:val="24"/>
              </w:rPr>
              <w:t>“十三五”</w:t>
            </w:r>
          </w:p>
          <w:p>
            <w:pPr>
              <w:overflowPunct w:val="0"/>
              <w:jc w:val="center"/>
              <w:rPr>
                <w:rFonts w:eastAsia="黑体"/>
                <w:sz w:val="24"/>
              </w:rPr>
            </w:pPr>
            <w:r>
              <w:rPr>
                <w:rFonts w:eastAsia="黑体"/>
                <w:sz w:val="24"/>
              </w:rPr>
              <w:t>规划目标</w:t>
            </w:r>
          </w:p>
        </w:tc>
        <w:tc>
          <w:tcPr>
            <w:tcW w:w="1460" w:type="dxa"/>
            <w:vAlign w:val="center"/>
          </w:tcPr>
          <w:p>
            <w:pPr>
              <w:overflowPunct w:val="0"/>
              <w:jc w:val="center"/>
              <w:rPr>
                <w:rFonts w:eastAsia="黑体"/>
                <w:sz w:val="24"/>
              </w:rPr>
            </w:pPr>
            <w:r>
              <w:rPr>
                <w:rFonts w:eastAsia="黑体"/>
                <w:sz w:val="24"/>
              </w:rPr>
              <w:t>2020年</w:t>
            </w:r>
          </w:p>
          <w:p>
            <w:pPr>
              <w:overflowPunct w:val="0"/>
              <w:jc w:val="center"/>
              <w:rPr>
                <w:rFonts w:eastAsia="黑体"/>
                <w:sz w:val="24"/>
              </w:rPr>
            </w:pPr>
            <w:r>
              <w:rPr>
                <w:rFonts w:eastAsia="黑体"/>
                <w:sz w:val="24"/>
              </w:rPr>
              <w:t>完成数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tbl>
            <w:tblPr>
              <w:tblStyle w:val="9"/>
              <w:tblW w:w="8959" w:type="dxa"/>
              <w:jc w:val="center"/>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531"/>
              <w:gridCol w:w="1468"/>
              <w:gridCol w:w="1483"/>
              <w:gridCol w:w="1477"/>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PrEx>
              <w:trPr>
                <w:trHeight w:val="482" w:hRule="atLeast"/>
                <w:jc w:val="center"/>
              </w:trPr>
              <w:tc>
                <w:tcPr>
                  <w:tcW w:w="8959" w:type="dxa"/>
                  <w:gridSpan w:val="4"/>
                  <w:tcBorders>
                    <w:bottom w:val="single" w:color="auto" w:sz="4" w:space="0"/>
                  </w:tcBorders>
                  <w:vAlign w:val="center"/>
                </w:tcPr>
                <w:p>
                  <w:pPr>
                    <w:overflowPunct w:val="0"/>
                    <w:rPr>
                      <w:b/>
                      <w:sz w:val="24"/>
                    </w:rPr>
                  </w:pPr>
                  <w:r>
                    <w:rPr>
                      <w:b/>
                      <w:sz w:val="24"/>
                    </w:rPr>
                    <w:t>一、人才队伍建设</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PrEx>
              <w:trPr>
                <w:trHeight w:val="482" w:hRule="atLeast"/>
                <w:jc w:val="center"/>
              </w:trPr>
              <w:tc>
                <w:tcPr>
                  <w:tcW w:w="4531" w:type="dxa"/>
                  <w:tcBorders>
                    <w:top w:val="single" w:color="auto" w:sz="4" w:space="0"/>
                    <w:bottom w:val="single" w:color="auto" w:sz="4" w:space="0"/>
                    <w:right w:val="single" w:color="auto" w:sz="4" w:space="0"/>
                  </w:tcBorders>
                  <w:vAlign w:val="center"/>
                </w:tcPr>
                <w:p>
                  <w:pPr>
                    <w:overflowPunct w:val="0"/>
                    <w:rPr>
                      <w:sz w:val="24"/>
                    </w:rPr>
                  </w:pPr>
                  <w:r>
                    <w:rPr>
                      <w:sz w:val="24"/>
                    </w:rPr>
                    <w:t>1．人才资源总量（万人）</w:t>
                  </w:r>
                </w:p>
              </w:tc>
              <w:tc>
                <w:tcPr>
                  <w:tcW w:w="1468" w:type="dxa"/>
                  <w:tcBorders>
                    <w:top w:val="single" w:color="auto" w:sz="4" w:space="0"/>
                    <w:left w:val="single" w:color="auto" w:sz="4" w:space="0"/>
                    <w:bottom w:val="single" w:color="auto" w:sz="4" w:space="0"/>
                    <w:right w:val="single" w:color="auto" w:sz="4" w:space="0"/>
                  </w:tcBorders>
                  <w:vAlign w:val="center"/>
                </w:tcPr>
                <w:p>
                  <w:pPr>
                    <w:overflowPunct w:val="0"/>
                    <w:jc w:val="center"/>
                    <w:rPr>
                      <w:sz w:val="24"/>
                    </w:rPr>
                  </w:pPr>
                  <w:r>
                    <w:rPr>
                      <w:sz w:val="24"/>
                    </w:rPr>
                    <w:t>1075</w:t>
                  </w:r>
                </w:p>
              </w:tc>
              <w:tc>
                <w:tcPr>
                  <w:tcW w:w="1483" w:type="dxa"/>
                  <w:tcBorders>
                    <w:top w:val="single" w:color="auto" w:sz="4" w:space="0"/>
                    <w:left w:val="single" w:color="auto" w:sz="4" w:space="0"/>
                    <w:bottom w:val="single" w:color="auto" w:sz="4" w:space="0"/>
                    <w:right w:val="single" w:color="auto" w:sz="4" w:space="0"/>
                  </w:tcBorders>
                  <w:vAlign w:val="center"/>
                </w:tcPr>
                <w:p>
                  <w:pPr>
                    <w:overflowPunct w:val="0"/>
                    <w:jc w:val="center"/>
                    <w:rPr>
                      <w:sz w:val="24"/>
                    </w:rPr>
                  </w:pPr>
                  <w:r>
                    <w:rPr>
                      <w:sz w:val="24"/>
                    </w:rPr>
                    <w:t>1400</w:t>
                  </w:r>
                </w:p>
              </w:tc>
              <w:tc>
                <w:tcPr>
                  <w:tcW w:w="1477" w:type="dxa"/>
                  <w:tcBorders>
                    <w:top w:val="single" w:color="auto" w:sz="4" w:space="0"/>
                    <w:left w:val="single" w:color="auto" w:sz="4" w:space="0"/>
                    <w:bottom w:val="single" w:color="auto" w:sz="4" w:space="0"/>
                  </w:tcBorders>
                  <w:vAlign w:val="center"/>
                </w:tcPr>
                <w:p>
                  <w:pPr>
                    <w:overflowPunct w:val="0"/>
                    <w:jc w:val="center"/>
                    <w:rPr>
                      <w:sz w:val="24"/>
                    </w:rPr>
                  </w:pPr>
                  <w:r>
                    <w:rPr>
                      <w:sz w:val="24"/>
                    </w:rPr>
                    <w:t>1400</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PrEx>
              <w:trPr>
                <w:trHeight w:val="482" w:hRule="atLeast"/>
                <w:jc w:val="center"/>
              </w:trPr>
              <w:tc>
                <w:tcPr>
                  <w:tcW w:w="4531" w:type="dxa"/>
                  <w:tcBorders>
                    <w:top w:val="single" w:color="auto" w:sz="4" w:space="0"/>
                    <w:bottom w:val="single" w:color="auto" w:sz="4" w:space="0"/>
                    <w:right w:val="single" w:color="auto" w:sz="4" w:space="0"/>
                  </w:tcBorders>
                  <w:vAlign w:val="center"/>
                </w:tcPr>
                <w:p>
                  <w:pPr>
                    <w:overflowPunct w:val="0"/>
                    <w:rPr>
                      <w:sz w:val="24"/>
                    </w:rPr>
                  </w:pPr>
                  <w:r>
                    <w:rPr>
                      <w:sz w:val="24"/>
                    </w:rPr>
                    <w:t>2．专业技术人才总量（万人）</w:t>
                  </w:r>
                </w:p>
              </w:tc>
              <w:tc>
                <w:tcPr>
                  <w:tcW w:w="1468" w:type="dxa"/>
                  <w:tcBorders>
                    <w:top w:val="single" w:color="auto" w:sz="4" w:space="0"/>
                    <w:left w:val="single" w:color="auto" w:sz="4" w:space="0"/>
                    <w:bottom w:val="single" w:color="auto" w:sz="4" w:space="0"/>
                    <w:right w:val="single" w:color="auto" w:sz="4" w:space="0"/>
                  </w:tcBorders>
                  <w:vAlign w:val="center"/>
                </w:tcPr>
                <w:p>
                  <w:pPr>
                    <w:overflowPunct w:val="0"/>
                    <w:jc w:val="center"/>
                    <w:rPr>
                      <w:sz w:val="24"/>
                    </w:rPr>
                  </w:pPr>
                  <w:r>
                    <w:rPr>
                      <w:sz w:val="24"/>
                    </w:rPr>
                    <w:t>480</w:t>
                  </w:r>
                </w:p>
              </w:tc>
              <w:tc>
                <w:tcPr>
                  <w:tcW w:w="1483" w:type="dxa"/>
                  <w:tcBorders>
                    <w:top w:val="single" w:color="auto" w:sz="4" w:space="0"/>
                    <w:left w:val="single" w:color="auto" w:sz="4" w:space="0"/>
                    <w:bottom w:val="single" w:color="auto" w:sz="4" w:space="0"/>
                    <w:right w:val="single" w:color="auto" w:sz="4" w:space="0"/>
                  </w:tcBorders>
                  <w:vAlign w:val="center"/>
                </w:tcPr>
                <w:p>
                  <w:pPr>
                    <w:overflowPunct w:val="0"/>
                    <w:jc w:val="center"/>
                    <w:rPr>
                      <w:sz w:val="24"/>
                    </w:rPr>
                  </w:pPr>
                  <w:r>
                    <w:rPr>
                      <w:sz w:val="24"/>
                    </w:rPr>
                    <w:t>650</w:t>
                  </w:r>
                </w:p>
              </w:tc>
              <w:tc>
                <w:tcPr>
                  <w:tcW w:w="1477" w:type="dxa"/>
                  <w:tcBorders>
                    <w:top w:val="single" w:color="auto" w:sz="4" w:space="0"/>
                    <w:left w:val="single" w:color="auto" w:sz="4" w:space="0"/>
                    <w:bottom w:val="single" w:color="auto" w:sz="4" w:space="0"/>
                  </w:tcBorders>
                  <w:vAlign w:val="center"/>
                </w:tcPr>
                <w:p>
                  <w:pPr>
                    <w:overflowPunct w:val="0"/>
                    <w:jc w:val="center"/>
                    <w:rPr>
                      <w:sz w:val="24"/>
                    </w:rPr>
                  </w:pPr>
                  <w:r>
                    <w:rPr>
                      <w:sz w:val="24"/>
                    </w:rPr>
                    <w:t>610</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PrEx>
              <w:trPr>
                <w:trHeight w:val="482" w:hRule="atLeast"/>
                <w:jc w:val="center"/>
              </w:trPr>
              <w:tc>
                <w:tcPr>
                  <w:tcW w:w="4531" w:type="dxa"/>
                  <w:tcBorders>
                    <w:top w:val="single" w:color="auto" w:sz="4" w:space="0"/>
                    <w:bottom w:val="single" w:color="auto" w:sz="4" w:space="0"/>
                    <w:right w:val="single" w:color="auto" w:sz="4" w:space="0"/>
                  </w:tcBorders>
                  <w:vAlign w:val="center"/>
                </w:tcPr>
                <w:p>
                  <w:pPr>
                    <w:overflowPunct w:val="0"/>
                    <w:rPr>
                      <w:sz w:val="24"/>
                    </w:rPr>
                  </w:pPr>
                  <w:r>
                    <w:rPr>
                      <w:sz w:val="24"/>
                    </w:rPr>
                    <w:t>3．高、中、初级专业技术人才比例</w:t>
                  </w:r>
                </w:p>
              </w:tc>
              <w:tc>
                <w:tcPr>
                  <w:tcW w:w="1468" w:type="dxa"/>
                  <w:tcBorders>
                    <w:top w:val="single" w:color="auto" w:sz="4" w:space="0"/>
                    <w:left w:val="single" w:color="auto" w:sz="4" w:space="0"/>
                    <w:bottom w:val="single" w:color="auto" w:sz="4" w:space="0"/>
                    <w:right w:val="single" w:color="auto" w:sz="4" w:space="0"/>
                  </w:tcBorders>
                  <w:vAlign w:val="center"/>
                </w:tcPr>
                <w:p>
                  <w:pPr>
                    <w:overflowPunct w:val="0"/>
                    <w:jc w:val="center"/>
                    <w:rPr>
                      <w:sz w:val="24"/>
                    </w:rPr>
                  </w:pPr>
                  <w:r>
                    <w:rPr>
                      <w:sz w:val="24"/>
                    </w:rPr>
                    <w:t>7:25:68</w:t>
                  </w:r>
                </w:p>
              </w:tc>
              <w:tc>
                <w:tcPr>
                  <w:tcW w:w="1483" w:type="dxa"/>
                  <w:tcBorders>
                    <w:top w:val="single" w:color="auto" w:sz="4" w:space="0"/>
                    <w:left w:val="single" w:color="auto" w:sz="4" w:space="0"/>
                    <w:bottom w:val="single" w:color="auto" w:sz="4" w:space="0"/>
                    <w:right w:val="single" w:color="auto" w:sz="4" w:space="0"/>
                  </w:tcBorders>
                  <w:vAlign w:val="center"/>
                </w:tcPr>
                <w:p>
                  <w:pPr>
                    <w:overflowPunct w:val="0"/>
                    <w:jc w:val="center"/>
                    <w:rPr>
                      <w:sz w:val="24"/>
                    </w:rPr>
                  </w:pPr>
                  <w:r>
                    <w:rPr>
                      <w:sz w:val="24"/>
                    </w:rPr>
                    <w:t>8:26:66</w:t>
                  </w:r>
                </w:p>
              </w:tc>
              <w:tc>
                <w:tcPr>
                  <w:tcW w:w="1477" w:type="dxa"/>
                  <w:tcBorders>
                    <w:top w:val="single" w:color="auto" w:sz="4" w:space="0"/>
                    <w:left w:val="single" w:color="auto" w:sz="4" w:space="0"/>
                    <w:bottom w:val="single" w:color="auto" w:sz="4" w:space="0"/>
                  </w:tcBorders>
                  <w:vAlign w:val="center"/>
                </w:tcPr>
                <w:p>
                  <w:pPr>
                    <w:overflowPunct w:val="0"/>
                    <w:jc w:val="center"/>
                    <w:rPr>
                      <w:sz w:val="24"/>
                    </w:rPr>
                  </w:pPr>
                  <w:r>
                    <w:rPr>
                      <w:sz w:val="24"/>
                    </w:rPr>
                    <w:t>7.4:28:64.6</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PrEx>
              <w:trPr>
                <w:trHeight w:val="482" w:hRule="atLeast"/>
                <w:jc w:val="center"/>
              </w:trPr>
              <w:tc>
                <w:tcPr>
                  <w:tcW w:w="4531" w:type="dxa"/>
                  <w:tcBorders>
                    <w:top w:val="single" w:color="auto" w:sz="4" w:space="0"/>
                    <w:bottom w:val="single" w:color="auto" w:sz="4" w:space="0"/>
                    <w:right w:val="single" w:color="auto" w:sz="4" w:space="0"/>
                  </w:tcBorders>
                  <w:vAlign w:val="center"/>
                </w:tcPr>
                <w:p>
                  <w:pPr>
                    <w:overflowPunct w:val="0"/>
                    <w:rPr>
                      <w:sz w:val="24"/>
                    </w:rPr>
                  </w:pPr>
                  <w:r>
                    <w:rPr>
                      <w:sz w:val="24"/>
                    </w:rPr>
                    <w:t>4．高技能人才总量（万人）</w:t>
                  </w:r>
                </w:p>
              </w:tc>
              <w:tc>
                <w:tcPr>
                  <w:tcW w:w="1468" w:type="dxa"/>
                  <w:tcBorders>
                    <w:top w:val="single" w:color="auto" w:sz="4" w:space="0"/>
                    <w:left w:val="single" w:color="auto" w:sz="4" w:space="0"/>
                    <w:bottom w:val="single" w:color="auto" w:sz="4" w:space="0"/>
                    <w:right w:val="single" w:color="auto" w:sz="4" w:space="0"/>
                  </w:tcBorders>
                  <w:vAlign w:val="center"/>
                </w:tcPr>
                <w:p>
                  <w:pPr>
                    <w:overflowPunct w:val="0"/>
                    <w:jc w:val="center"/>
                    <w:rPr>
                      <w:sz w:val="24"/>
                    </w:rPr>
                  </w:pPr>
                  <w:r>
                    <w:rPr>
                      <w:sz w:val="24"/>
                    </w:rPr>
                    <w:t>220</w:t>
                  </w:r>
                </w:p>
              </w:tc>
              <w:tc>
                <w:tcPr>
                  <w:tcW w:w="1483" w:type="dxa"/>
                  <w:tcBorders>
                    <w:top w:val="single" w:color="auto" w:sz="4" w:space="0"/>
                    <w:left w:val="single" w:color="auto" w:sz="4" w:space="0"/>
                    <w:bottom w:val="single" w:color="auto" w:sz="4" w:space="0"/>
                    <w:right w:val="single" w:color="auto" w:sz="4" w:space="0"/>
                  </w:tcBorders>
                  <w:vAlign w:val="center"/>
                </w:tcPr>
                <w:p>
                  <w:pPr>
                    <w:overflowPunct w:val="0"/>
                    <w:jc w:val="center"/>
                    <w:rPr>
                      <w:sz w:val="24"/>
                    </w:rPr>
                  </w:pPr>
                  <w:r>
                    <w:rPr>
                      <w:sz w:val="24"/>
                    </w:rPr>
                    <w:t>320</w:t>
                  </w:r>
                </w:p>
              </w:tc>
              <w:tc>
                <w:tcPr>
                  <w:tcW w:w="1477" w:type="dxa"/>
                  <w:tcBorders>
                    <w:top w:val="single" w:color="auto" w:sz="4" w:space="0"/>
                    <w:left w:val="single" w:color="auto" w:sz="4" w:space="0"/>
                    <w:bottom w:val="single" w:color="auto" w:sz="4" w:space="0"/>
                  </w:tcBorders>
                  <w:vAlign w:val="center"/>
                </w:tcPr>
                <w:p>
                  <w:pPr>
                    <w:overflowPunct w:val="0"/>
                    <w:jc w:val="center"/>
                    <w:rPr>
                      <w:sz w:val="24"/>
                    </w:rPr>
                  </w:pPr>
                  <w:r>
                    <w:rPr>
                      <w:sz w:val="24"/>
                    </w:rPr>
                    <w:t>321.8</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PrEx>
              <w:trPr>
                <w:trHeight w:val="482" w:hRule="atLeast"/>
                <w:jc w:val="center"/>
              </w:trPr>
              <w:tc>
                <w:tcPr>
                  <w:tcW w:w="4531" w:type="dxa"/>
                  <w:tcBorders>
                    <w:top w:val="single" w:color="auto" w:sz="4" w:space="0"/>
                    <w:bottom w:val="nil"/>
                    <w:right w:val="single" w:color="auto" w:sz="4" w:space="0"/>
                  </w:tcBorders>
                  <w:vAlign w:val="center"/>
                </w:tcPr>
                <w:p>
                  <w:pPr>
                    <w:overflowPunct w:val="0"/>
                    <w:rPr>
                      <w:sz w:val="24"/>
                    </w:rPr>
                  </w:pPr>
                  <w:r>
                    <w:rPr>
                      <w:sz w:val="24"/>
                    </w:rPr>
                    <w:t>5．人才贡献率（%）</w:t>
                  </w:r>
                </w:p>
              </w:tc>
              <w:tc>
                <w:tcPr>
                  <w:tcW w:w="1468" w:type="dxa"/>
                  <w:tcBorders>
                    <w:top w:val="single" w:color="auto" w:sz="4" w:space="0"/>
                    <w:left w:val="single" w:color="auto" w:sz="4" w:space="0"/>
                    <w:right w:val="single" w:color="auto" w:sz="4" w:space="0"/>
                  </w:tcBorders>
                  <w:vAlign w:val="center"/>
                </w:tcPr>
                <w:p>
                  <w:pPr>
                    <w:overflowPunct w:val="0"/>
                    <w:jc w:val="center"/>
                    <w:rPr>
                      <w:sz w:val="24"/>
                    </w:rPr>
                  </w:pPr>
                  <w:r>
                    <w:rPr>
                      <w:sz w:val="24"/>
                    </w:rPr>
                    <w:t>35.5</w:t>
                  </w:r>
                </w:p>
              </w:tc>
              <w:tc>
                <w:tcPr>
                  <w:tcW w:w="1483" w:type="dxa"/>
                  <w:tcBorders>
                    <w:top w:val="single" w:color="auto" w:sz="4" w:space="0"/>
                    <w:left w:val="single" w:color="auto" w:sz="4" w:space="0"/>
                    <w:bottom w:val="nil"/>
                    <w:right w:val="single" w:color="auto" w:sz="4" w:space="0"/>
                  </w:tcBorders>
                  <w:vAlign w:val="center"/>
                </w:tcPr>
                <w:p>
                  <w:pPr>
                    <w:overflowPunct w:val="0"/>
                    <w:jc w:val="center"/>
                    <w:rPr>
                      <w:sz w:val="24"/>
                    </w:rPr>
                  </w:pPr>
                  <w:r>
                    <w:rPr>
                      <w:sz w:val="24"/>
                    </w:rPr>
                    <w:t>&gt;40</w:t>
                  </w:r>
                </w:p>
              </w:tc>
              <w:tc>
                <w:tcPr>
                  <w:tcW w:w="1477" w:type="dxa"/>
                  <w:tcBorders>
                    <w:top w:val="single" w:color="auto" w:sz="4" w:space="0"/>
                    <w:left w:val="single" w:color="auto" w:sz="4" w:space="0"/>
                  </w:tcBorders>
                  <w:vAlign w:val="center"/>
                </w:tcPr>
                <w:p>
                  <w:pPr>
                    <w:overflowPunct w:val="0"/>
                    <w:jc w:val="center"/>
                    <w:rPr>
                      <w:sz w:val="24"/>
                    </w:rPr>
                  </w:pPr>
                  <w:r>
                    <w:rPr>
                      <w:sz w:val="24"/>
                    </w:rPr>
                    <w:t>—</w:t>
                  </w:r>
                </w:p>
              </w:tc>
            </w:tr>
          </w:tbl>
          <w:p>
            <w:pPr>
              <w:overflowPunct w:val="0"/>
              <w:rPr>
                <w:b/>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rPr>
                <w:b/>
                <w:sz w:val="24"/>
              </w:rPr>
            </w:pPr>
            <w:r>
              <w:rPr>
                <w:b/>
                <w:sz w:val="24"/>
              </w:rPr>
              <w:t>二、就业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6．城镇新增就业人数（万人）</w:t>
            </w:r>
          </w:p>
        </w:tc>
        <w:tc>
          <w:tcPr>
            <w:tcW w:w="1439" w:type="dxa"/>
            <w:vAlign w:val="center"/>
          </w:tcPr>
          <w:p>
            <w:pPr>
              <w:overflowPunct w:val="0"/>
              <w:jc w:val="center"/>
              <w:rPr>
                <w:sz w:val="24"/>
              </w:rPr>
            </w:pPr>
            <w:r>
              <w:rPr>
                <w:sz w:val="24"/>
              </w:rPr>
              <w:t>〔515〕</w:t>
            </w:r>
          </w:p>
        </w:tc>
        <w:tc>
          <w:tcPr>
            <w:tcW w:w="1472" w:type="dxa"/>
            <w:vAlign w:val="center"/>
          </w:tcPr>
          <w:p>
            <w:pPr>
              <w:overflowPunct w:val="0"/>
              <w:jc w:val="center"/>
              <w:rPr>
                <w:sz w:val="24"/>
              </w:rPr>
            </w:pPr>
            <w:r>
              <w:rPr>
                <w:sz w:val="24"/>
              </w:rPr>
              <w:t>〔400〕</w:t>
            </w:r>
          </w:p>
        </w:tc>
        <w:tc>
          <w:tcPr>
            <w:tcW w:w="1460" w:type="dxa"/>
            <w:vAlign w:val="center"/>
          </w:tcPr>
          <w:p>
            <w:pPr>
              <w:overflowPunct w:val="0"/>
              <w:jc w:val="center"/>
              <w:rPr>
                <w:sz w:val="24"/>
              </w:rPr>
            </w:pPr>
            <w:r>
              <w:rPr>
                <w:sz w:val="24"/>
              </w:rPr>
              <w:t>〔606〕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7．城镇登记失业率（%）</w:t>
            </w:r>
          </w:p>
        </w:tc>
        <w:tc>
          <w:tcPr>
            <w:tcW w:w="1439" w:type="dxa"/>
            <w:vAlign w:val="center"/>
          </w:tcPr>
          <w:p>
            <w:pPr>
              <w:overflowPunct w:val="0"/>
              <w:jc w:val="center"/>
              <w:rPr>
                <w:sz w:val="24"/>
              </w:rPr>
            </w:pPr>
            <w:r>
              <w:rPr>
                <w:sz w:val="24"/>
              </w:rPr>
              <w:t>2.93</w:t>
            </w:r>
          </w:p>
        </w:tc>
        <w:tc>
          <w:tcPr>
            <w:tcW w:w="1472" w:type="dxa"/>
            <w:vAlign w:val="center"/>
          </w:tcPr>
          <w:p>
            <w:pPr>
              <w:overflowPunct w:val="0"/>
              <w:jc w:val="center"/>
              <w:rPr>
                <w:sz w:val="24"/>
              </w:rPr>
            </w:pPr>
            <w:r>
              <w:rPr>
                <w:rFonts w:hint="eastAsia" w:ascii="方正书宋简体" w:eastAsia="方正书宋简体"/>
                <w:sz w:val="24"/>
              </w:rPr>
              <w:t>≤</w:t>
            </w:r>
            <w:r>
              <w:rPr>
                <w:sz w:val="24"/>
              </w:rPr>
              <w:t>3.5</w:t>
            </w:r>
          </w:p>
        </w:tc>
        <w:tc>
          <w:tcPr>
            <w:tcW w:w="1460" w:type="dxa"/>
            <w:vAlign w:val="center"/>
          </w:tcPr>
          <w:p>
            <w:pPr>
              <w:overflowPunct w:val="0"/>
              <w:jc w:val="center"/>
              <w:rPr>
                <w:sz w:val="24"/>
              </w:rPr>
            </w:pPr>
            <w:r>
              <w:rPr>
                <w:sz w:val="24"/>
              </w:rPr>
              <w:t>2.79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rPr>
                <w:b/>
                <w:sz w:val="24"/>
              </w:rPr>
            </w:pPr>
            <w:r>
              <w:rPr>
                <w:b/>
                <w:sz w:val="24"/>
              </w:rPr>
              <w:t>三、社会保障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8．基本养老保险参保人数（万人）</w:t>
            </w:r>
          </w:p>
        </w:tc>
        <w:tc>
          <w:tcPr>
            <w:tcW w:w="1439" w:type="dxa"/>
            <w:vAlign w:val="center"/>
          </w:tcPr>
          <w:p>
            <w:pPr>
              <w:overflowPunct w:val="0"/>
              <w:jc w:val="center"/>
              <w:rPr>
                <w:sz w:val="24"/>
              </w:rPr>
            </w:pPr>
            <w:r>
              <w:rPr>
                <w:sz w:val="24"/>
              </w:rPr>
              <w:t>3684</w:t>
            </w:r>
          </w:p>
        </w:tc>
        <w:tc>
          <w:tcPr>
            <w:tcW w:w="1472" w:type="dxa"/>
            <w:vAlign w:val="center"/>
          </w:tcPr>
          <w:p>
            <w:pPr>
              <w:overflowPunct w:val="0"/>
              <w:jc w:val="center"/>
              <w:rPr>
                <w:sz w:val="24"/>
              </w:rPr>
            </w:pPr>
            <w:r>
              <w:rPr>
                <w:sz w:val="24"/>
              </w:rPr>
              <w:t>4100</w:t>
            </w:r>
          </w:p>
        </w:tc>
        <w:tc>
          <w:tcPr>
            <w:tcW w:w="1460" w:type="dxa"/>
            <w:vAlign w:val="center"/>
          </w:tcPr>
          <w:p>
            <w:pPr>
              <w:overflowPunct w:val="0"/>
              <w:jc w:val="center"/>
              <w:rPr>
                <w:sz w:val="24"/>
              </w:rPr>
            </w:pPr>
            <w:r>
              <w:rPr>
                <w:sz w:val="24"/>
              </w:rPr>
              <w:t>4355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9．基本养老保险参保率（%）</w:t>
            </w:r>
          </w:p>
        </w:tc>
        <w:tc>
          <w:tcPr>
            <w:tcW w:w="1439" w:type="dxa"/>
            <w:vAlign w:val="center"/>
          </w:tcPr>
          <w:p>
            <w:pPr>
              <w:overflowPunct w:val="0"/>
              <w:jc w:val="center"/>
              <w:rPr>
                <w:sz w:val="24"/>
              </w:rPr>
            </w:pPr>
            <w:r>
              <w:rPr>
                <w:sz w:val="24"/>
              </w:rPr>
              <w:t>84.4</w:t>
            </w:r>
          </w:p>
        </w:tc>
        <w:tc>
          <w:tcPr>
            <w:tcW w:w="1472" w:type="dxa"/>
            <w:vAlign w:val="center"/>
          </w:tcPr>
          <w:p>
            <w:pPr>
              <w:overflowPunct w:val="0"/>
              <w:jc w:val="center"/>
              <w:rPr>
                <w:sz w:val="24"/>
              </w:rPr>
            </w:pPr>
            <w:r>
              <w:rPr>
                <w:sz w:val="24"/>
              </w:rPr>
              <w:t>95</w:t>
            </w:r>
          </w:p>
        </w:tc>
        <w:tc>
          <w:tcPr>
            <w:tcW w:w="1460" w:type="dxa"/>
            <w:vAlign w:val="center"/>
          </w:tcPr>
          <w:p>
            <w:pPr>
              <w:overflowPunct w:val="0"/>
              <w:jc w:val="center"/>
              <w:rPr>
                <w:sz w:val="24"/>
              </w:rPr>
            </w:pPr>
            <w:r>
              <w:rPr>
                <w:sz w:val="24"/>
              </w:rPr>
              <w:t>98.36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10．基本医疗保险参保人数（万人）</w:t>
            </w:r>
          </w:p>
        </w:tc>
        <w:tc>
          <w:tcPr>
            <w:tcW w:w="1439" w:type="dxa"/>
            <w:vAlign w:val="center"/>
          </w:tcPr>
          <w:p>
            <w:pPr>
              <w:overflowPunct w:val="0"/>
              <w:jc w:val="center"/>
              <w:rPr>
                <w:sz w:val="24"/>
              </w:rPr>
            </w:pPr>
            <w:r>
              <w:rPr>
                <w:sz w:val="24"/>
              </w:rPr>
              <w:t>5195</w:t>
            </w:r>
          </w:p>
        </w:tc>
        <w:tc>
          <w:tcPr>
            <w:tcW w:w="1472" w:type="dxa"/>
            <w:vAlign w:val="center"/>
          </w:tcPr>
          <w:p>
            <w:pPr>
              <w:overflowPunct w:val="0"/>
              <w:jc w:val="center"/>
              <w:rPr>
                <w:sz w:val="24"/>
              </w:rPr>
            </w:pPr>
            <w:r>
              <w:rPr>
                <w:sz w:val="24"/>
              </w:rPr>
              <w:t>5200</w:t>
            </w:r>
          </w:p>
        </w:tc>
        <w:tc>
          <w:tcPr>
            <w:tcW w:w="1460" w:type="dxa"/>
            <w:vAlign w:val="center"/>
          </w:tcPr>
          <w:p>
            <w:pPr>
              <w:overflowPunct w:val="0"/>
              <w:jc w:val="center"/>
              <w:rPr>
                <w:sz w:val="24"/>
              </w:rPr>
            </w:pPr>
            <w:r>
              <w:rPr>
                <w:sz w:val="24"/>
              </w:rPr>
              <w:t>5557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11．基本医疗保险参保率（%）</w:t>
            </w:r>
          </w:p>
        </w:tc>
        <w:tc>
          <w:tcPr>
            <w:tcW w:w="1439" w:type="dxa"/>
            <w:vAlign w:val="center"/>
          </w:tcPr>
          <w:p>
            <w:pPr>
              <w:overflowPunct w:val="0"/>
              <w:jc w:val="center"/>
              <w:rPr>
                <w:sz w:val="24"/>
              </w:rPr>
            </w:pPr>
            <w:r>
              <w:rPr>
                <w:sz w:val="24"/>
              </w:rPr>
              <w:t>&gt;95</w:t>
            </w:r>
          </w:p>
        </w:tc>
        <w:tc>
          <w:tcPr>
            <w:tcW w:w="1472" w:type="dxa"/>
            <w:vAlign w:val="center"/>
          </w:tcPr>
          <w:p>
            <w:pPr>
              <w:overflowPunct w:val="0"/>
              <w:jc w:val="center"/>
              <w:rPr>
                <w:sz w:val="24"/>
              </w:rPr>
            </w:pPr>
            <w:r>
              <w:rPr>
                <w:sz w:val="24"/>
              </w:rPr>
              <w:t>&gt;95</w:t>
            </w:r>
          </w:p>
        </w:tc>
        <w:tc>
          <w:tcPr>
            <w:tcW w:w="1460" w:type="dxa"/>
            <w:vAlign w:val="center"/>
          </w:tcPr>
          <w:p>
            <w:pPr>
              <w:overflowPunct w:val="0"/>
              <w:jc w:val="center"/>
              <w:rPr>
                <w:sz w:val="24"/>
              </w:rPr>
            </w:pPr>
            <w:r>
              <w:rPr>
                <w:sz w:val="24"/>
              </w:rPr>
              <w:t>&gt;99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12．失业保险参保人数（万人）</w:t>
            </w:r>
          </w:p>
        </w:tc>
        <w:tc>
          <w:tcPr>
            <w:tcW w:w="1439" w:type="dxa"/>
            <w:vAlign w:val="center"/>
          </w:tcPr>
          <w:p>
            <w:pPr>
              <w:overflowPunct w:val="0"/>
              <w:jc w:val="center"/>
              <w:rPr>
                <w:sz w:val="24"/>
              </w:rPr>
            </w:pPr>
            <w:r>
              <w:rPr>
                <w:sz w:val="24"/>
              </w:rPr>
              <w:t>1260</w:t>
            </w:r>
          </w:p>
        </w:tc>
        <w:tc>
          <w:tcPr>
            <w:tcW w:w="1472" w:type="dxa"/>
            <w:vAlign w:val="center"/>
          </w:tcPr>
          <w:p>
            <w:pPr>
              <w:overflowPunct w:val="0"/>
              <w:jc w:val="center"/>
              <w:rPr>
                <w:sz w:val="24"/>
              </w:rPr>
            </w:pPr>
            <w:r>
              <w:rPr>
                <w:sz w:val="24"/>
              </w:rPr>
              <w:t>1400</w:t>
            </w:r>
          </w:p>
        </w:tc>
        <w:tc>
          <w:tcPr>
            <w:tcW w:w="1460" w:type="dxa"/>
            <w:vAlign w:val="center"/>
          </w:tcPr>
          <w:p>
            <w:pPr>
              <w:overflowPunct w:val="0"/>
              <w:jc w:val="center"/>
              <w:rPr>
                <w:sz w:val="24"/>
              </w:rPr>
            </w:pPr>
            <w:r>
              <w:rPr>
                <w:rFonts w:hint="eastAsia"/>
                <w:sz w:val="24"/>
              </w:rPr>
              <w:t>1687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13．工伤保险参保人数（万人）</w:t>
            </w:r>
          </w:p>
        </w:tc>
        <w:tc>
          <w:tcPr>
            <w:tcW w:w="1439" w:type="dxa"/>
            <w:vAlign w:val="center"/>
          </w:tcPr>
          <w:p>
            <w:pPr>
              <w:overflowPunct w:val="0"/>
              <w:jc w:val="center"/>
              <w:rPr>
                <w:sz w:val="24"/>
              </w:rPr>
            </w:pPr>
            <w:r>
              <w:rPr>
                <w:sz w:val="24"/>
              </w:rPr>
              <w:t>1930</w:t>
            </w:r>
          </w:p>
        </w:tc>
        <w:tc>
          <w:tcPr>
            <w:tcW w:w="1472" w:type="dxa"/>
            <w:vAlign w:val="center"/>
          </w:tcPr>
          <w:p>
            <w:pPr>
              <w:overflowPunct w:val="0"/>
              <w:jc w:val="center"/>
              <w:rPr>
                <w:sz w:val="24"/>
              </w:rPr>
            </w:pPr>
            <w:r>
              <w:rPr>
                <w:sz w:val="24"/>
              </w:rPr>
              <w:t>2000</w:t>
            </w:r>
          </w:p>
        </w:tc>
        <w:tc>
          <w:tcPr>
            <w:tcW w:w="1460" w:type="dxa"/>
            <w:vAlign w:val="center"/>
          </w:tcPr>
          <w:p>
            <w:pPr>
              <w:overflowPunct w:val="0"/>
              <w:jc w:val="center"/>
              <w:rPr>
                <w:sz w:val="24"/>
              </w:rPr>
            </w:pPr>
            <w:r>
              <w:rPr>
                <w:rFonts w:hint="eastAsia"/>
                <w:sz w:val="24"/>
              </w:rPr>
              <w:t>2546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14．社会保障卡发卡数量（万张）</w:t>
            </w:r>
          </w:p>
        </w:tc>
        <w:tc>
          <w:tcPr>
            <w:tcW w:w="1439" w:type="dxa"/>
            <w:vAlign w:val="center"/>
          </w:tcPr>
          <w:p>
            <w:pPr>
              <w:overflowPunct w:val="0"/>
              <w:jc w:val="center"/>
              <w:rPr>
                <w:sz w:val="24"/>
              </w:rPr>
            </w:pPr>
            <w:r>
              <w:rPr>
                <w:sz w:val="24"/>
              </w:rPr>
              <w:t>4677</w:t>
            </w:r>
          </w:p>
        </w:tc>
        <w:tc>
          <w:tcPr>
            <w:tcW w:w="1472" w:type="dxa"/>
            <w:vAlign w:val="center"/>
          </w:tcPr>
          <w:p>
            <w:pPr>
              <w:overflowPunct w:val="0"/>
              <w:jc w:val="center"/>
              <w:rPr>
                <w:sz w:val="24"/>
              </w:rPr>
            </w:pPr>
            <w:r>
              <w:rPr>
                <w:sz w:val="24"/>
              </w:rPr>
              <w:t>5000</w:t>
            </w:r>
          </w:p>
        </w:tc>
        <w:tc>
          <w:tcPr>
            <w:tcW w:w="1460" w:type="dxa"/>
            <w:vAlign w:val="center"/>
          </w:tcPr>
          <w:p>
            <w:pPr>
              <w:overflowPunct w:val="0"/>
              <w:jc w:val="center"/>
              <w:rPr>
                <w:sz w:val="24"/>
              </w:rPr>
            </w:pPr>
            <w:r>
              <w:rPr>
                <w:sz w:val="24"/>
              </w:rPr>
              <w:t>6065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jc w:val="center"/>
              <w:rPr>
                <w:rFonts w:eastAsia="黑体"/>
                <w:sz w:val="24"/>
              </w:rPr>
            </w:pPr>
            <w:r>
              <w:rPr>
                <w:rFonts w:eastAsia="黑体"/>
                <w:sz w:val="24"/>
              </w:rPr>
              <w:t>指</w:t>
            </w:r>
            <w:r>
              <w:rPr>
                <w:rFonts w:hint="eastAsia" w:eastAsia="黑体"/>
                <w:sz w:val="24"/>
              </w:rPr>
              <w:t xml:space="preserve">    </w:t>
            </w:r>
            <w:r>
              <w:rPr>
                <w:rFonts w:eastAsia="黑体"/>
                <w:sz w:val="24"/>
              </w:rPr>
              <w:t>标</w:t>
            </w:r>
          </w:p>
        </w:tc>
        <w:tc>
          <w:tcPr>
            <w:tcW w:w="1439" w:type="dxa"/>
            <w:vAlign w:val="center"/>
          </w:tcPr>
          <w:p>
            <w:pPr>
              <w:overflowPunct w:val="0"/>
              <w:jc w:val="center"/>
              <w:rPr>
                <w:rFonts w:eastAsia="黑体"/>
                <w:sz w:val="24"/>
              </w:rPr>
            </w:pPr>
            <w:r>
              <w:rPr>
                <w:rFonts w:eastAsia="黑体"/>
                <w:sz w:val="24"/>
              </w:rPr>
              <w:t>2015年</w:t>
            </w:r>
          </w:p>
          <w:p>
            <w:pPr>
              <w:overflowPunct w:val="0"/>
              <w:jc w:val="center"/>
              <w:rPr>
                <w:rFonts w:eastAsia="黑体"/>
                <w:sz w:val="24"/>
              </w:rPr>
            </w:pPr>
            <w:r>
              <w:rPr>
                <w:rFonts w:eastAsia="黑体"/>
                <w:sz w:val="24"/>
              </w:rPr>
              <w:t>基数</w:t>
            </w:r>
          </w:p>
        </w:tc>
        <w:tc>
          <w:tcPr>
            <w:tcW w:w="1472" w:type="dxa"/>
            <w:vAlign w:val="center"/>
          </w:tcPr>
          <w:p>
            <w:pPr>
              <w:overflowPunct w:val="0"/>
              <w:jc w:val="center"/>
              <w:rPr>
                <w:rFonts w:hint="eastAsia" w:eastAsia="黑体"/>
                <w:sz w:val="24"/>
              </w:rPr>
            </w:pPr>
            <w:r>
              <w:rPr>
                <w:rFonts w:eastAsia="黑体"/>
                <w:sz w:val="24"/>
              </w:rPr>
              <w:t>“十三五”</w:t>
            </w:r>
          </w:p>
          <w:p>
            <w:pPr>
              <w:overflowPunct w:val="0"/>
              <w:jc w:val="center"/>
              <w:rPr>
                <w:rFonts w:eastAsia="黑体"/>
                <w:sz w:val="24"/>
              </w:rPr>
            </w:pPr>
            <w:r>
              <w:rPr>
                <w:rFonts w:eastAsia="黑体"/>
                <w:sz w:val="24"/>
              </w:rPr>
              <w:t>规划目标</w:t>
            </w:r>
          </w:p>
        </w:tc>
        <w:tc>
          <w:tcPr>
            <w:tcW w:w="1460" w:type="dxa"/>
            <w:vAlign w:val="center"/>
          </w:tcPr>
          <w:p>
            <w:pPr>
              <w:overflowPunct w:val="0"/>
              <w:jc w:val="center"/>
              <w:rPr>
                <w:rFonts w:eastAsia="黑体"/>
                <w:sz w:val="24"/>
              </w:rPr>
            </w:pPr>
            <w:r>
              <w:rPr>
                <w:rFonts w:eastAsia="黑体"/>
                <w:sz w:val="24"/>
              </w:rPr>
              <w:t>2020年</w:t>
            </w:r>
          </w:p>
          <w:p>
            <w:pPr>
              <w:overflowPunct w:val="0"/>
              <w:jc w:val="center"/>
              <w:rPr>
                <w:rFonts w:eastAsia="黑体"/>
                <w:sz w:val="24"/>
              </w:rPr>
            </w:pPr>
            <w:r>
              <w:rPr>
                <w:rFonts w:eastAsia="黑体"/>
                <w:sz w:val="24"/>
              </w:rPr>
              <w:t>完成数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rPr>
                <w:b/>
                <w:sz w:val="24"/>
              </w:rPr>
            </w:pPr>
            <w:r>
              <w:rPr>
                <w:b/>
                <w:sz w:val="24"/>
              </w:rPr>
              <w:t>四、劳动关系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15．企业劳动合同签订率（%）</w:t>
            </w:r>
          </w:p>
        </w:tc>
        <w:tc>
          <w:tcPr>
            <w:tcW w:w="1439" w:type="dxa"/>
            <w:vAlign w:val="center"/>
          </w:tcPr>
          <w:p>
            <w:pPr>
              <w:overflowPunct w:val="0"/>
              <w:jc w:val="center"/>
              <w:rPr>
                <w:sz w:val="24"/>
              </w:rPr>
            </w:pPr>
            <w:r>
              <w:rPr>
                <w:sz w:val="24"/>
              </w:rPr>
              <w:t>97</w:t>
            </w:r>
          </w:p>
        </w:tc>
        <w:tc>
          <w:tcPr>
            <w:tcW w:w="1472" w:type="dxa"/>
            <w:vAlign w:val="center"/>
          </w:tcPr>
          <w:p>
            <w:pPr>
              <w:overflowPunct w:val="0"/>
              <w:jc w:val="center"/>
              <w:rPr>
                <w:sz w:val="24"/>
              </w:rPr>
            </w:pPr>
            <w:r>
              <w:rPr>
                <w:sz w:val="24"/>
              </w:rPr>
              <w:t>98</w:t>
            </w:r>
          </w:p>
        </w:tc>
        <w:tc>
          <w:tcPr>
            <w:tcW w:w="1460" w:type="dxa"/>
            <w:vAlign w:val="center"/>
          </w:tcPr>
          <w:p>
            <w:pPr>
              <w:overflowPunct w:val="0"/>
              <w:jc w:val="center"/>
              <w:rPr>
                <w:sz w:val="24"/>
              </w:rPr>
            </w:pPr>
            <w:r>
              <w:rPr>
                <w:sz w:val="24"/>
              </w:rPr>
              <w:t>9</w:t>
            </w:r>
            <w:r>
              <w:rPr>
                <w:rFonts w:hint="eastAsia"/>
                <w:sz w:val="24"/>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16．劳动人事争议仲裁结案率（%）</w:t>
            </w:r>
          </w:p>
        </w:tc>
        <w:tc>
          <w:tcPr>
            <w:tcW w:w="1439" w:type="dxa"/>
            <w:vAlign w:val="center"/>
          </w:tcPr>
          <w:p>
            <w:pPr>
              <w:overflowPunct w:val="0"/>
              <w:jc w:val="center"/>
              <w:rPr>
                <w:sz w:val="24"/>
              </w:rPr>
            </w:pPr>
            <w:r>
              <w:rPr>
                <w:sz w:val="24"/>
              </w:rPr>
              <w:t>94</w:t>
            </w:r>
          </w:p>
        </w:tc>
        <w:tc>
          <w:tcPr>
            <w:tcW w:w="1472" w:type="dxa"/>
            <w:vAlign w:val="center"/>
          </w:tcPr>
          <w:p>
            <w:pPr>
              <w:overflowPunct w:val="0"/>
              <w:jc w:val="center"/>
              <w:rPr>
                <w:sz w:val="24"/>
              </w:rPr>
            </w:pPr>
            <w:r>
              <w:rPr>
                <w:sz w:val="24"/>
              </w:rPr>
              <w:t>94</w:t>
            </w:r>
          </w:p>
        </w:tc>
        <w:tc>
          <w:tcPr>
            <w:tcW w:w="1460" w:type="dxa"/>
            <w:vAlign w:val="center"/>
          </w:tcPr>
          <w:p>
            <w:pPr>
              <w:overflowPunct w:val="0"/>
              <w:jc w:val="center"/>
              <w:rPr>
                <w:sz w:val="24"/>
              </w:rPr>
            </w:pPr>
            <w:r>
              <w:rPr>
                <w:sz w:val="24"/>
              </w:rPr>
              <w:t>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474" w:type="dxa"/>
            <w:vAlign w:val="center"/>
          </w:tcPr>
          <w:p>
            <w:pPr>
              <w:overflowPunct w:val="0"/>
              <w:rPr>
                <w:sz w:val="24"/>
              </w:rPr>
            </w:pPr>
            <w:r>
              <w:rPr>
                <w:sz w:val="24"/>
              </w:rPr>
              <w:t>其中：调解结案所占比例（%）</w:t>
            </w:r>
          </w:p>
        </w:tc>
        <w:tc>
          <w:tcPr>
            <w:tcW w:w="1439" w:type="dxa"/>
            <w:vAlign w:val="center"/>
          </w:tcPr>
          <w:p>
            <w:pPr>
              <w:overflowPunct w:val="0"/>
              <w:jc w:val="center"/>
              <w:rPr>
                <w:sz w:val="24"/>
              </w:rPr>
            </w:pPr>
            <w:r>
              <w:rPr>
                <w:sz w:val="24"/>
              </w:rPr>
              <w:t>70</w:t>
            </w:r>
          </w:p>
        </w:tc>
        <w:tc>
          <w:tcPr>
            <w:tcW w:w="1472" w:type="dxa"/>
            <w:vAlign w:val="center"/>
          </w:tcPr>
          <w:p>
            <w:pPr>
              <w:overflowPunct w:val="0"/>
              <w:jc w:val="center"/>
              <w:rPr>
                <w:sz w:val="24"/>
              </w:rPr>
            </w:pPr>
            <w:r>
              <w:rPr>
                <w:sz w:val="24"/>
              </w:rPr>
              <w:t>70</w:t>
            </w:r>
          </w:p>
        </w:tc>
        <w:tc>
          <w:tcPr>
            <w:tcW w:w="1460" w:type="dxa"/>
            <w:vAlign w:val="center"/>
          </w:tcPr>
          <w:p>
            <w:pPr>
              <w:overflowPunct w:val="0"/>
              <w:jc w:val="center"/>
              <w:rPr>
                <w:sz w:val="24"/>
              </w:rPr>
            </w:pPr>
            <w:r>
              <w:rPr>
                <w:sz w:val="24"/>
              </w:rPr>
              <w:t>78</w:t>
            </w:r>
          </w:p>
        </w:tc>
      </w:tr>
    </w:tbl>
    <w:p>
      <w:pPr>
        <w:overflowPunct w:val="0"/>
        <w:spacing w:line="590" w:lineRule="exact"/>
        <w:ind w:firstLine="480" w:firstLineChars="200"/>
        <w:rPr>
          <w:rStyle w:val="10"/>
          <w:b w:val="0"/>
          <w:sz w:val="24"/>
          <w:szCs w:val="24"/>
        </w:rPr>
      </w:pPr>
      <w:bookmarkStart w:id="14" w:name="_Toc78529338"/>
      <w:r>
        <w:rPr>
          <w:rStyle w:val="10"/>
          <w:b w:val="0"/>
          <w:sz w:val="24"/>
          <w:szCs w:val="24"/>
        </w:rPr>
        <w:t>注：〔</w:t>
      </w:r>
      <w:r>
        <w:rPr>
          <w:rStyle w:val="10"/>
          <w:rFonts w:hint="eastAsia"/>
          <w:b w:val="0"/>
          <w:sz w:val="24"/>
          <w:szCs w:val="24"/>
        </w:rPr>
        <w:t xml:space="preserve"> </w:t>
      </w:r>
      <w:r>
        <w:rPr>
          <w:rStyle w:val="10"/>
          <w:b w:val="0"/>
          <w:sz w:val="24"/>
          <w:szCs w:val="24"/>
        </w:rPr>
        <w:t>〕内为5年累计数。</w:t>
      </w:r>
    </w:p>
    <w:bookmarkEnd w:id="14"/>
    <w:p>
      <w:pPr>
        <w:overflowPunct w:val="0"/>
        <w:spacing w:line="600" w:lineRule="exact"/>
        <w:ind w:firstLine="640" w:firstLineChars="200"/>
        <w:rPr>
          <w:szCs w:val="32"/>
        </w:rPr>
      </w:pPr>
      <w:r>
        <w:rPr>
          <w:rFonts w:eastAsia="楷体_GB2312"/>
          <w:szCs w:val="32"/>
        </w:rPr>
        <w:t>（二）发展环境。</w:t>
      </w:r>
      <w:r>
        <w:rPr>
          <w:szCs w:val="32"/>
        </w:rPr>
        <w:t>“十四五”到2035年，是我国在全面建成小康社会、实现第一个百年奋斗目标之后，乘势而上开启全面建设社会主义现代化国家新征程的关键阶段。今后五年，是我省围绕忠实践行“八八战略”、奋力打造“重要窗口”主题主线，在高水平全面建成小康社会的基础上，把握新发展阶段，贯彻新发展理念，率先探索构建新发展格局、率先建设现代化经济体系、率先推进省域治理现代化、率先推动全省人民走向共同富裕的关键时期。“十四五”时期，我省人力资源和社会保障事业发展处于重要战略机遇期，机遇与挑战并存。就业结构性矛盾仍然存在，个别行业及群体的就业压力仍然较大，新技术对就业结构性影响逐步显现；经济下行压力加大了社保扩面征缴难度，人口老龄化加剧了社保可持续运行的压力；技能人才总量和素质难以充分满足产业发展和市场需求，企业在人才培养和评价中的主体性作用发挥不足；新业态劳动用工政策供给和管理相对滞后，劳动者的维权意识更加强烈，劳动关系风险隐患进一步显现；城乡居民之间、不同地区行业收入差距依然较大，不同群体社保待遇不够平衡；信息化发展对数据安全和信息保护提出了更高的要求。我们要着眼“两个大局”，肩负起“五大历史使命”，深刻认识我省发展格局变化带来的新特征新要求，深刻把握人力资源和社会保障事业发展的阶段性规律和特征，增强“窗口”意识，立足省情、聚焦重点、严守底线，切实加强工作的前瞻性和主动性，在危机中育先机、于变局中开新局。</w:t>
      </w:r>
    </w:p>
    <w:bookmarkEnd w:id="10"/>
    <w:bookmarkEnd w:id="11"/>
    <w:bookmarkEnd w:id="12"/>
    <w:bookmarkEnd w:id="13"/>
    <w:p>
      <w:pPr>
        <w:overflowPunct w:val="0"/>
        <w:spacing w:line="590" w:lineRule="exact"/>
        <w:ind w:firstLine="640" w:firstLineChars="200"/>
        <w:rPr>
          <w:rFonts w:eastAsia="黑体"/>
          <w:szCs w:val="32"/>
        </w:rPr>
      </w:pPr>
      <w:r>
        <w:rPr>
          <w:rFonts w:eastAsia="黑体"/>
          <w:szCs w:val="32"/>
        </w:rPr>
        <w:t>二、总体要求</w:t>
      </w:r>
    </w:p>
    <w:p>
      <w:pPr>
        <w:overflowPunct w:val="0"/>
        <w:spacing w:line="590" w:lineRule="exact"/>
        <w:ind w:firstLine="640" w:firstLineChars="200"/>
        <w:rPr>
          <w:szCs w:val="32"/>
        </w:rPr>
      </w:pPr>
      <w:r>
        <w:rPr>
          <w:rStyle w:val="10"/>
          <w:b w:val="0"/>
          <w:szCs w:val="32"/>
        </w:rPr>
        <w:t>（一）指导思想。</w:t>
      </w:r>
      <w:r>
        <w:rPr>
          <w:szCs w:val="32"/>
        </w:rPr>
        <w:t>坚持以习近平新时代中国特色社会主义思想为指导，深入贯彻党的十九大和十九届二中、三中、四中、五中全会精神，坚持党的全面领导，坚持以人民为中心，坚持立足新发展阶段，坚持贯彻新发展理念，坚持构建新发展格局，坚持系统观念，坚持稳中求进工作总基调，忠实践行“八八战略”、奋力打造“重要窗口”，努力打造更加充分更高质量的就业、更加健全更可持续的社会保障体系、更高水平更有活力的技术技能人才队伍、更具浙江特色更加和谐的劳动关系、更加合理更加完善的企事业工资收入分配机制、更便捷更优质的人社公共服务，争当全国人力资源和社会保障事业高质量发展的排头兵，为我省打造新时代全面展示中国特色社会主义制度优越性的重要窗口、争创社会主义现代化先行省、高质量发展建设共同富裕示范区贡献人社力量。</w:t>
      </w:r>
    </w:p>
    <w:p>
      <w:pPr>
        <w:pStyle w:val="5"/>
        <w:overflowPunct w:val="0"/>
        <w:spacing w:line="590" w:lineRule="exact"/>
        <w:ind w:firstLine="640"/>
        <w:rPr>
          <w:rFonts w:ascii="Times New Roman" w:hAnsi="Times New Roman" w:eastAsia="楷体_GB2312"/>
          <w:b/>
          <w:szCs w:val="32"/>
        </w:rPr>
      </w:pPr>
      <w:bookmarkStart w:id="15" w:name="_Toc78529340"/>
      <w:r>
        <w:rPr>
          <w:rStyle w:val="12"/>
          <w:rFonts w:ascii="Times New Roman" w:hAnsi="Times New Roman" w:eastAsia="楷体_GB2312" w:cs="Times New Roman"/>
          <w:color w:val="auto"/>
          <w:sz w:val="32"/>
          <w:szCs w:val="32"/>
        </w:rPr>
        <w:t>（二）</w:t>
      </w:r>
      <w:r>
        <w:rPr>
          <w:rStyle w:val="10"/>
          <w:b w:val="0"/>
          <w:szCs w:val="32"/>
        </w:rPr>
        <w:t>基本原则</w:t>
      </w:r>
      <w:bookmarkEnd w:id="15"/>
    </w:p>
    <w:p>
      <w:pPr>
        <w:overflowPunct w:val="0"/>
        <w:spacing w:line="590" w:lineRule="exact"/>
        <w:ind w:firstLine="640" w:firstLineChars="200"/>
        <w:rPr>
          <w:szCs w:val="32"/>
        </w:rPr>
      </w:pPr>
      <w:r>
        <w:rPr>
          <w:szCs w:val="32"/>
        </w:rPr>
        <w:t>——坚持以人民为中心。坚决把以人民为中心的发展思想贯彻落实到人力资源和社会保障事业改革发展的全过程各方面，坚持以人的现代化发展和全生命周期服务为导向，对照人民群众新期盼，着力解决群众最关心最直接最现实的利益问题，持续在发展中保障和改善民生，不断满足人民对美好生活的需要，推动我省高质量发展建设共同富裕示范区。</w:t>
      </w:r>
    </w:p>
    <w:p>
      <w:pPr>
        <w:overflowPunct w:val="0"/>
        <w:spacing w:line="590" w:lineRule="exact"/>
        <w:ind w:firstLine="640" w:firstLineChars="200"/>
        <w:rPr>
          <w:szCs w:val="32"/>
        </w:rPr>
      </w:pPr>
      <w:r>
        <w:rPr>
          <w:szCs w:val="32"/>
        </w:rPr>
        <w:t>——坚持以数字化改革为牵引。以数字化改革牵引人社全领域各方面改革，运用数字化技术、数字化思维、数字化认知对人社治理的体制机制、组织架构、方式流程、手段工具进行全方位系统性重塑，打造“整体智治、唯实惟先、高效协同、系统集成”的“数字人社”，推进人社领域治理体系和治理能力现代化。</w:t>
      </w:r>
    </w:p>
    <w:p>
      <w:pPr>
        <w:overflowPunct w:val="0"/>
        <w:spacing w:line="590" w:lineRule="exact"/>
        <w:ind w:firstLine="640" w:firstLineChars="200"/>
        <w:rPr>
          <w:szCs w:val="32"/>
        </w:rPr>
      </w:pPr>
      <w:r>
        <w:rPr>
          <w:szCs w:val="32"/>
          <w:lang w:val="zh-CN"/>
        </w:rPr>
        <w:t>——坚持以系统观念为指导。坚持系统观念，坚持统筹协调，加强前瞻性思考、全局性谋划、战略性布局、整体性推进。既尽力而为，又量力而行；既兼顾不同群体利益，又促进前后政策衔接平衡；既着眼当前，扎实办好民生实事和“关键小事”，又放眼长远，谋划完善人的全生命周期民生服务。</w:t>
      </w:r>
    </w:p>
    <w:p>
      <w:pPr>
        <w:overflowPunct w:val="0"/>
        <w:spacing w:line="590" w:lineRule="exact"/>
        <w:ind w:firstLine="640" w:firstLineChars="200"/>
        <w:rPr>
          <w:szCs w:val="32"/>
        </w:rPr>
      </w:pPr>
      <w:r>
        <w:rPr>
          <w:szCs w:val="32"/>
        </w:rPr>
        <w:t>——坚持以创新发展为动力。增强改革创新精神，把创新作为事业发展的重要战略支点，围绕率先探索构建新发展格局，解放思想，积极创新，“勇立潮头”，寻求突破，持续增强人力社保事业发展的动力和活力。</w:t>
      </w:r>
    </w:p>
    <w:p>
      <w:pPr>
        <w:overflowPunct w:val="0"/>
        <w:spacing w:line="590" w:lineRule="exact"/>
        <w:ind w:firstLine="640" w:firstLineChars="200"/>
        <w:rPr>
          <w:szCs w:val="32"/>
        </w:rPr>
      </w:pPr>
      <w:r>
        <w:rPr>
          <w:szCs w:val="32"/>
          <w:lang w:val="zh-CN"/>
        </w:rPr>
        <w:t>——</w:t>
      </w:r>
      <w:r>
        <w:rPr>
          <w:szCs w:val="32"/>
        </w:rPr>
        <w:t>坚持以安全稳定为基石。增强机遇意识、风险意识、忧患意识，把防风险、守底线作为重中之重，健全风险防控机制，堵塞安全漏洞，强化民生保障政策托底功能，保持就业和劳动关系局势稳定，加强网络和数据安全保障，统筹安全和发展，维护和谐稳定大局。</w:t>
      </w:r>
    </w:p>
    <w:p>
      <w:pPr>
        <w:overflowPunct w:val="0"/>
        <w:spacing w:line="590" w:lineRule="exact"/>
        <w:ind w:firstLine="640" w:firstLineChars="200"/>
        <w:rPr>
          <w:rFonts w:eastAsia="楷体_GB2312"/>
          <w:szCs w:val="32"/>
        </w:rPr>
      </w:pPr>
      <w:r>
        <w:rPr>
          <w:rStyle w:val="12"/>
          <w:rFonts w:ascii="Times New Roman" w:eastAsia="楷体_GB2312" w:cs="Times New Roman"/>
          <w:color w:val="auto"/>
          <w:sz w:val="32"/>
          <w:szCs w:val="32"/>
        </w:rPr>
        <w:t>（三）主要目标</w:t>
      </w:r>
    </w:p>
    <w:p>
      <w:pPr>
        <w:overflowPunct w:val="0"/>
        <w:spacing w:line="590" w:lineRule="exact"/>
        <w:ind w:firstLine="640" w:firstLineChars="200"/>
        <w:rPr>
          <w:szCs w:val="32"/>
        </w:rPr>
      </w:pPr>
      <w:r>
        <w:rPr>
          <w:szCs w:val="32"/>
        </w:rPr>
        <w:t>——更加充分更高质量的就业。强化就业优先战略，持续扩大就业规模，保持就业局势总体稳定，完善高校毕业生、农民工、退役军人等重点群体就业支持体系，加强城镇各类就业困难人员就业培训、托底安置就业和帮扶，实施零就业家庭动态清零，进一步增强创业带动就业效应。“十四五”期间，全省累计实现城镇新增就业500万人以上，城镇调查失业率控制在5.5%左右，实施职业技能培训500万人次。</w:t>
      </w:r>
    </w:p>
    <w:p>
      <w:pPr>
        <w:overflowPunct w:val="0"/>
        <w:spacing w:line="590" w:lineRule="exact"/>
        <w:ind w:firstLine="640" w:firstLineChars="200"/>
        <w:rPr>
          <w:szCs w:val="32"/>
        </w:rPr>
      </w:pPr>
      <w:r>
        <w:rPr>
          <w:szCs w:val="32"/>
        </w:rPr>
        <w:t>——更加健全更可持续的社会保障体系。加快健全覆盖全</w:t>
      </w:r>
      <w:r>
        <w:rPr>
          <w:spacing w:val="4"/>
          <w:szCs w:val="32"/>
        </w:rPr>
        <w:t>民、城乡统筹、权责清晰、保障适度、可持续的社会保障体系，加快完善多层次多支柱养老保险体系、预防补偿康复“三位一体”工伤保险体系、保生活防失业促就业的失业保险体系。到“十四五”期末实现法定人群基本全覆盖和应保尽保，企业职工基本养老保险全国统筹，失业保险省级统筹，社保基金安全可持续运行。</w:t>
      </w:r>
    </w:p>
    <w:p>
      <w:pPr>
        <w:overflowPunct w:val="0"/>
        <w:spacing w:line="590" w:lineRule="exact"/>
        <w:ind w:firstLine="640" w:firstLineChars="200"/>
        <w:rPr>
          <w:szCs w:val="32"/>
        </w:rPr>
      </w:pPr>
      <w:r>
        <w:rPr>
          <w:szCs w:val="32"/>
        </w:rPr>
        <w:t>——更高水平更有活力的技术技能人才队伍。全面贯彻人才强省、创新强省首位战略，突出“高精尖缺”导向，加强高层次人才队伍建设。实施“技能浙江”行动，构建“产教训”融合、“政企社”协同、“育选用”贯通的技能人才培育体系，壮大技能人才队伍。深化事业单位人事制度改革，建立健全竞争择优、能上能下的用人机制。到“十四五”末，专业技术人才、技能人才总量分别达到680万（含在管理岗位的专技人才）和1150万。</w:t>
      </w:r>
    </w:p>
    <w:p>
      <w:pPr>
        <w:overflowPunct w:val="0"/>
        <w:spacing w:line="590" w:lineRule="exact"/>
        <w:ind w:firstLine="640" w:firstLineChars="200"/>
        <w:rPr>
          <w:szCs w:val="32"/>
        </w:rPr>
      </w:pPr>
      <w:r>
        <w:rPr>
          <w:szCs w:val="32"/>
        </w:rPr>
        <w:t xml:space="preserve">——更具浙江特色更加和谐的劳动关系。进一步提高劳动关系治理能力，完善劳动关系协调机制。发扬新时代枫桥经验，推进纠纷就近就地多元化解，更多劳动人事争议终结在调解仲裁阶段。深化“浙江无欠薪”行动，全域治理欠薪问题，全面实现农民工工资无拖欠，形成具有浙江辨识度的根治欠薪标志性成果。加强农民工服务保障，助力乡村振兴。 </w:t>
      </w:r>
    </w:p>
    <w:p>
      <w:pPr>
        <w:overflowPunct w:val="0"/>
        <w:spacing w:line="590" w:lineRule="exact"/>
        <w:ind w:firstLine="640" w:firstLineChars="200"/>
        <w:rPr>
          <w:szCs w:val="32"/>
        </w:rPr>
      </w:pPr>
      <w:r>
        <w:rPr>
          <w:szCs w:val="32"/>
        </w:rPr>
        <w:t>——更加合理更加完善的企事业工资收入分配机制。优化工资结构，健全工资分配宏观指导调控体系，努力实现更加健全的工资收入分配制度和更加合理有序的分配格局。以提高居民工资性收入为工作重心，努力促进我省中等收入群体规模持续扩大、收入水平不断提高，橄榄型社会结构基本形成，推动人民走向共同富裕。</w:t>
      </w:r>
    </w:p>
    <w:p>
      <w:pPr>
        <w:overflowPunct w:val="0"/>
        <w:spacing w:line="590" w:lineRule="exact"/>
        <w:ind w:firstLine="640" w:firstLineChars="200"/>
        <w:rPr>
          <w:rFonts w:hint="eastAsia"/>
          <w:szCs w:val="32"/>
        </w:rPr>
      </w:pPr>
      <w:r>
        <w:rPr>
          <w:szCs w:val="32"/>
        </w:rPr>
        <w:t>——更便捷更优质的人社公共服务。以人社数字化改革为引领，基本形成覆盖全民、城乡一体、均等可及、智能服务、高效运行的人社公共服务体系，全面建成“掌上办事之厅”，公共服务数字化模式成为全国示范标杆。到“十四五”期末，省市县三级人社公共服务体系更加完备、职责定位更为清晰、力量配置更趋优化，服务的专业性和权威性进一步增强。</w:t>
      </w:r>
    </w:p>
    <w:p>
      <w:pPr>
        <w:overflowPunct w:val="0"/>
        <w:spacing w:line="590" w:lineRule="exact"/>
        <w:ind w:firstLine="640" w:firstLineChars="200"/>
        <w:rPr>
          <w:rFonts w:hint="eastAsia"/>
          <w:szCs w:val="32"/>
        </w:rPr>
      </w:pP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4581"/>
        <w:gridCol w:w="1421"/>
        <w:gridCol w:w="1422"/>
        <w:gridCol w:w="14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spacing w:before="240" w:beforeLines="100" w:after="240" w:afterLines="100" w:line="360" w:lineRule="exact"/>
              <w:jc w:val="center"/>
              <w:rPr>
                <w:rFonts w:eastAsia="黑体"/>
                <w:sz w:val="28"/>
                <w:szCs w:val="28"/>
              </w:rPr>
            </w:pPr>
            <w:r>
              <w:rPr>
                <w:rFonts w:eastAsia="黑体"/>
                <w:sz w:val="28"/>
                <w:szCs w:val="28"/>
              </w:rPr>
              <w:t>专栏2  “十四五”时期主要指标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jc w:val="center"/>
              <w:rPr>
                <w:rFonts w:eastAsia="黑体"/>
                <w:sz w:val="24"/>
              </w:rPr>
            </w:pPr>
            <w:r>
              <w:rPr>
                <w:rFonts w:eastAsia="黑体"/>
                <w:sz w:val="24"/>
              </w:rPr>
              <w:t>指     标</w:t>
            </w:r>
          </w:p>
        </w:tc>
        <w:tc>
          <w:tcPr>
            <w:tcW w:w="1421" w:type="dxa"/>
            <w:vAlign w:val="center"/>
          </w:tcPr>
          <w:p>
            <w:pPr>
              <w:overflowPunct w:val="0"/>
              <w:adjustRightInd w:val="0"/>
              <w:snapToGrid w:val="0"/>
              <w:jc w:val="center"/>
              <w:rPr>
                <w:rFonts w:eastAsia="黑体"/>
                <w:sz w:val="24"/>
              </w:rPr>
            </w:pPr>
            <w:r>
              <w:rPr>
                <w:rFonts w:eastAsia="黑体"/>
                <w:sz w:val="24"/>
              </w:rPr>
              <w:t>2020年</w:t>
            </w:r>
          </w:p>
          <w:p>
            <w:pPr>
              <w:overflowPunct w:val="0"/>
              <w:adjustRightInd w:val="0"/>
              <w:snapToGrid w:val="0"/>
              <w:jc w:val="center"/>
              <w:rPr>
                <w:rFonts w:eastAsia="黑体"/>
                <w:sz w:val="24"/>
              </w:rPr>
            </w:pPr>
            <w:r>
              <w:rPr>
                <w:rFonts w:eastAsia="黑体"/>
                <w:sz w:val="24"/>
              </w:rPr>
              <w:t>基数</w:t>
            </w:r>
          </w:p>
        </w:tc>
        <w:tc>
          <w:tcPr>
            <w:tcW w:w="1422" w:type="dxa"/>
            <w:vAlign w:val="center"/>
          </w:tcPr>
          <w:p>
            <w:pPr>
              <w:overflowPunct w:val="0"/>
              <w:adjustRightInd w:val="0"/>
              <w:snapToGrid w:val="0"/>
              <w:jc w:val="center"/>
              <w:rPr>
                <w:rFonts w:eastAsia="黑体"/>
                <w:sz w:val="24"/>
              </w:rPr>
            </w:pPr>
            <w:r>
              <w:rPr>
                <w:rFonts w:eastAsia="黑体"/>
                <w:sz w:val="24"/>
              </w:rPr>
              <w:t>2025年</w:t>
            </w:r>
          </w:p>
          <w:p>
            <w:pPr>
              <w:overflowPunct w:val="0"/>
              <w:adjustRightInd w:val="0"/>
              <w:snapToGrid w:val="0"/>
              <w:jc w:val="center"/>
              <w:rPr>
                <w:rFonts w:eastAsia="黑体"/>
                <w:sz w:val="24"/>
              </w:rPr>
            </w:pPr>
            <w:r>
              <w:rPr>
                <w:rFonts w:eastAsia="黑体"/>
                <w:sz w:val="24"/>
              </w:rPr>
              <w:t>规划目标</w:t>
            </w:r>
          </w:p>
        </w:tc>
        <w:tc>
          <w:tcPr>
            <w:tcW w:w="1421" w:type="dxa"/>
            <w:vAlign w:val="center"/>
          </w:tcPr>
          <w:p>
            <w:pPr>
              <w:overflowPunct w:val="0"/>
              <w:adjustRightInd w:val="0"/>
              <w:snapToGrid w:val="0"/>
              <w:jc w:val="center"/>
              <w:rPr>
                <w:rFonts w:eastAsia="黑体"/>
                <w:sz w:val="24"/>
              </w:rPr>
            </w:pPr>
            <w:r>
              <w:rPr>
                <w:rFonts w:eastAsia="黑体"/>
                <w:sz w:val="24"/>
              </w:rPr>
              <w:t>属  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rPr>
                <w:b/>
                <w:bCs/>
                <w:sz w:val="24"/>
              </w:rPr>
            </w:pPr>
            <w:r>
              <w:rPr>
                <w:b/>
                <w:bCs/>
                <w:sz w:val="24"/>
              </w:rPr>
              <w:t>一、就业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1</w:t>
            </w:r>
            <w:r>
              <w:rPr>
                <w:rFonts w:hint="eastAsia"/>
                <w:sz w:val="24"/>
              </w:rPr>
              <w:t>．</w:t>
            </w:r>
            <w:r>
              <w:rPr>
                <w:sz w:val="24"/>
              </w:rPr>
              <w:t>城镇新增就业人数（万人）</w:t>
            </w:r>
          </w:p>
        </w:tc>
        <w:tc>
          <w:tcPr>
            <w:tcW w:w="1421" w:type="dxa"/>
            <w:vAlign w:val="center"/>
          </w:tcPr>
          <w:p>
            <w:pPr>
              <w:overflowPunct w:val="0"/>
              <w:jc w:val="center"/>
              <w:rPr>
                <w:sz w:val="24"/>
              </w:rPr>
            </w:pPr>
            <w:r>
              <w:rPr>
                <w:sz w:val="24"/>
              </w:rPr>
              <w:t>—</w:t>
            </w:r>
          </w:p>
        </w:tc>
        <w:tc>
          <w:tcPr>
            <w:tcW w:w="1422" w:type="dxa"/>
            <w:vAlign w:val="center"/>
          </w:tcPr>
          <w:p>
            <w:pPr>
              <w:overflowPunct w:val="0"/>
              <w:jc w:val="center"/>
              <w:rPr>
                <w:sz w:val="24"/>
              </w:rPr>
            </w:pPr>
            <w:r>
              <w:rPr>
                <w:sz w:val="24"/>
              </w:rPr>
              <w:t>〔500〕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2</w:t>
            </w:r>
            <w:r>
              <w:rPr>
                <w:rFonts w:hint="eastAsia"/>
                <w:sz w:val="24"/>
              </w:rPr>
              <w:t>．</w:t>
            </w:r>
            <w:r>
              <w:rPr>
                <w:sz w:val="24"/>
              </w:rPr>
              <w:t>城镇调查失业率（%</w:t>
            </w:r>
            <w:r>
              <w:rPr>
                <w:rFonts w:hint="eastAsia"/>
                <w:sz w:val="24"/>
              </w:rPr>
              <w:t>）</w:t>
            </w:r>
          </w:p>
        </w:tc>
        <w:tc>
          <w:tcPr>
            <w:tcW w:w="1421" w:type="dxa"/>
            <w:vAlign w:val="center"/>
          </w:tcPr>
          <w:p>
            <w:pPr>
              <w:overflowPunct w:val="0"/>
              <w:jc w:val="center"/>
              <w:rPr>
                <w:sz w:val="24"/>
              </w:rPr>
            </w:pPr>
            <w:r>
              <w:rPr>
                <w:sz w:val="24"/>
              </w:rPr>
              <w:t>—</w:t>
            </w:r>
          </w:p>
        </w:tc>
        <w:tc>
          <w:tcPr>
            <w:tcW w:w="1422" w:type="dxa"/>
            <w:vAlign w:val="center"/>
          </w:tcPr>
          <w:p>
            <w:pPr>
              <w:overflowPunct w:val="0"/>
              <w:jc w:val="center"/>
              <w:rPr>
                <w:sz w:val="24"/>
              </w:rPr>
            </w:pPr>
            <w:r>
              <w:rPr>
                <w:sz w:val="24"/>
              </w:rPr>
              <w:t>5.5左右</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3</w:t>
            </w:r>
            <w:r>
              <w:rPr>
                <w:rFonts w:hint="eastAsia"/>
                <w:sz w:val="24"/>
              </w:rPr>
              <w:t>．</w:t>
            </w:r>
            <w:r>
              <w:rPr>
                <w:sz w:val="24"/>
              </w:rPr>
              <w:t>职业技能培训人次（万人次）</w:t>
            </w:r>
          </w:p>
        </w:tc>
        <w:tc>
          <w:tcPr>
            <w:tcW w:w="1421" w:type="dxa"/>
            <w:vAlign w:val="center"/>
          </w:tcPr>
          <w:p>
            <w:pPr>
              <w:overflowPunct w:val="0"/>
              <w:jc w:val="center"/>
              <w:rPr>
                <w:sz w:val="24"/>
              </w:rPr>
            </w:pPr>
            <w:r>
              <w:rPr>
                <w:sz w:val="24"/>
              </w:rPr>
              <w:t>—</w:t>
            </w:r>
          </w:p>
        </w:tc>
        <w:tc>
          <w:tcPr>
            <w:tcW w:w="1422" w:type="dxa"/>
            <w:vAlign w:val="center"/>
          </w:tcPr>
          <w:p>
            <w:pPr>
              <w:overflowPunct w:val="0"/>
              <w:jc w:val="center"/>
              <w:rPr>
                <w:sz w:val="24"/>
              </w:rPr>
            </w:pPr>
            <w:r>
              <w:rPr>
                <w:sz w:val="24"/>
              </w:rPr>
              <w:t>〔500〕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rPr>
                <w:b/>
                <w:bCs/>
                <w:sz w:val="24"/>
              </w:rPr>
            </w:pPr>
            <w:r>
              <w:rPr>
                <w:b/>
                <w:bCs/>
                <w:sz w:val="24"/>
              </w:rPr>
              <w:t>二、社会保障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4</w:t>
            </w:r>
            <w:r>
              <w:rPr>
                <w:rFonts w:hint="eastAsia"/>
                <w:sz w:val="24"/>
              </w:rPr>
              <w:t>．</w:t>
            </w:r>
            <w:r>
              <w:rPr>
                <w:sz w:val="24"/>
              </w:rPr>
              <w:t>基本养老保险参保人数（万人）</w:t>
            </w:r>
          </w:p>
        </w:tc>
        <w:tc>
          <w:tcPr>
            <w:tcW w:w="1421" w:type="dxa"/>
            <w:vAlign w:val="center"/>
          </w:tcPr>
          <w:p>
            <w:pPr>
              <w:overflowPunct w:val="0"/>
              <w:jc w:val="center"/>
              <w:rPr>
                <w:sz w:val="24"/>
              </w:rPr>
            </w:pPr>
            <w:r>
              <w:rPr>
                <w:sz w:val="24"/>
              </w:rPr>
              <w:t>4355</w:t>
            </w:r>
          </w:p>
        </w:tc>
        <w:tc>
          <w:tcPr>
            <w:tcW w:w="1422" w:type="dxa"/>
            <w:vAlign w:val="center"/>
          </w:tcPr>
          <w:p>
            <w:pPr>
              <w:overflowPunct w:val="0"/>
              <w:jc w:val="center"/>
              <w:rPr>
                <w:sz w:val="24"/>
              </w:rPr>
            </w:pPr>
            <w:r>
              <w:rPr>
                <w:sz w:val="24"/>
              </w:rPr>
              <w:t>4500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5</w:t>
            </w:r>
            <w:r>
              <w:rPr>
                <w:rFonts w:hint="eastAsia"/>
                <w:sz w:val="24"/>
              </w:rPr>
              <w:t>．</w:t>
            </w:r>
            <w:r>
              <w:rPr>
                <w:sz w:val="24"/>
              </w:rPr>
              <w:t>失业保险参保人数（万人）</w:t>
            </w:r>
          </w:p>
        </w:tc>
        <w:tc>
          <w:tcPr>
            <w:tcW w:w="1421" w:type="dxa"/>
            <w:vAlign w:val="center"/>
          </w:tcPr>
          <w:p>
            <w:pPr>
              <w:overflowPunct w:val="0"/>
              <w:jc w:val="center"/>
              <w:rPr>
                <w:rFonts w:eastAsia="宋体"/>
                <w:sz w:val="24"/>
              </w:rPr>
            </w:pPr>
            <w:r>
              <w:rPr>
                <w:rFonts w:hint="eastAsia"/>
                <w:sz w:val="24"/>
              </w:rPr>
              <w:t>1687</w:t>
            </w:r>
          </w:p>
        </w:tc>
        <w:tc>
          <w:tcPr>
            <w:tcW w:w="1422" w:type="dxa"/>
            <w:vAlign w:val="center"/>
          </w:tcPr>
          <w:p>
            <w:pPr>
              <w:overflowPunct w:val="0"/>
              <w:jc w:val="center"/>
              <w:rPr>
                <w:sz w:val="24"/>
              </w:rPr>
            </w:pPr>
            <w:r>
              <w:rPr>
                <w:sz w:val="24"/>
              </w:rPr>
              <w:t>1800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6</w:t>
            </w:r>
            <w:r>
              <w:rPr>
                <w:rFonts w:hint="eastAsia"/>
                <w:sz w:val="24"/>
              </w:rPr>
              <w:t>．</w:t>
            </w:r>
            <w:r>
              <w:rPr>
                <w:sz w:val="24"/>
              </w:rPr>
              <w:t>工伤保险参保人数（万人）</w:t>
            </w:r>
          </w:p>
        </w:tc>
        <w:tc>
          <w:tcPr>
            <w:tcW w:w="1421" w:type="dxa"/>
            <w:vAlign w:val="center"/>
          </w:tcPr>
          <w:p>
            <w:pPr>
              <w:overflowPunct w:val="0"/>
              <w:jc w:val="center"/>
              <w:rPr>
                <w:sz w:val="24"/>
              </w:rPr>
            </w:pPr>
            <w:r>
              <w:rPr>
                <w:rFonts w:hint="eastAsia"/>
                <w:sz w:val="24"/>
              </w:rPr>
              <w:t>2546</w:t>
            </w:r>
          </w:p>
        </w:tc>
        <w:tc>
          <w:tcPr>
            <w:tcW w:w="1422" w:type="dxa"/>
            <w:vAlign w:val="center"/>
          </w:tcPr>
          <w:p>
            <w:pPr>
              <w:overflowPunct w:val="0"/>
              <w:jc w:val="center"/>
              <w:rPr>
                <w:sz w:val="24"/>
              </w:rPr>
            </w:pPr>
            <w:r>
              <w:rPr>
                <w:rFonts w:hint="eastAsia"/>
                <w:sz w:val="24"/>
              </w:rPr>
              <w:t>2750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rPr>
                <w:b/>
                <w:bCs/>
                <w:sz w:val="24"/>
              </w:rPr>
            </w:pPr>
            <w:r>
              <w:rPr>
                <w:b/>
                <w:bCs/>
                <w:sz w:val="24"/>
              </w:rPr>
              <w:t>三、人才队伍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adjustRightInd w:val="0"/>
              <w:snapToGrid w:val="0"/>
              <w:rPr>
                <w:sz w:val="24"/>
              </w:rPr>
            </w:pPr>
            <w:r>
              <w:rPr>
                <w:sz w:val="24"/>
              </w:rPr>
              <w:t>7</w:t>
            </w:r>
            <w:r>
              <w:rPr>
                <w:rFonts w:hint="eastAsia"/>
                <w:sz w:val="24"/>
              </w:rPr>
              <w:t>．</w:t>
            </w:r>
            <w:r>
              <w:rPr>
                <w:sz w:val="24"/>
              </w:rPr>
              <w:t>专业技术人才总量（万人）（含在管理岗位的专技人才）</w:t>
            </w:r>
          </w:p>
        </w:tc>
        <w:tc>
          <w:tcPr>
            <w:tcW w:w="1421" w:type="dxa"/>
            <w:vAlign w:val="center"/>
          </w:tcPr>
          <w:p>
            <w:pPr>
              <w:overflowPunct w:val="0"/>
              <w:jc w:val="center"/>
              <w:rPr>
                <w:sz w:val="24"/>
              </w:rPr>
            </w:pPr>
            <w:r>
              <w:rPr>
                <w:sz w:val="24"/>
              </w:rPr>
              <w:t>610</w:t>
            </w:r>
          </w:p>
        </w:tc>
        <w:tc>
          <w:tcPr>
            <w:tcW w:w="1422" w:type="dxa"/>
            <w:vAlign w:val="center"/>
          </w:tcPr>
          <w:p>
            <w:pPr>
              <w:overflowPunct w:val="0"/>
              <w:jc w:val="center"/>
              <w:rPr>
                <w:sz w:val="24"/>
              </w:rPr>
            </w:pPr>
            <w:r>
              <w:rPr>
                <w:sz w:val="24"/>
              </w:rPr>
              <w:t>680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8</w:t>
            </w:r>
            <w:r>
              <w:rPr>
                <w:rFonts w:hint="eastAsia"/>
                <w:sz w:val="24"/>
              </w:rPr>
              <w:t>．</w:t>
            </w:r>
            <w:r>
              <w:rPr>
                <w:sz w:val="24"/>
              </w:rPr>
              <w:t>其中：高级职称人才数量</w:t>
            </w:r>
          </w:p>
        </w:tc>
        <w:tc>
          <w:tcPr>
            <w:tcW w:w="1421" w:type="dxa"/>
            <w:vAlign w:val="center"/>
          </w:tcPr>
          <w:p>
            <w:pPr>
              <w:overflowPunct w:val="0"/>
              <w:jc w:val="center"/>
              <w:rPr>
                <w:sz w:val="24"/>
              </w:rPr>
            </w:pPr>
            <w:r>
              <w:rPr>
                <w:sz w:val="24"/>
              </w:rPr>
              <w:t>45.3</w:t>
            </w:r>
          </w:p>
        </w:tc>
        <w:tc>
          <w:tcPr>
            <w:tcW w:w="1422" w:type="dxa"/>
            <w:vAlign w:val="center"/>
          </w:tcPr>
          <w:p>
            <w:pPr>
              <w:overflowPunct w:val="0"/>
              <w:jc w:val="center"/>
              <w:rPr>
                <w:sz w:val="24"/>
              </w:rPr>
            </w:pPr>
            <w:r>
              <w:rPr>
                <w:sz w:val="24"/>
              </w:rPr>
              <w:t>55</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adjustRightInd w:val="0"/>
              <w:snapToGrid w:val="0"/>
              <w:rPr>
                <w:sz w:val="24"/>
              </w:rPr>
            </w:pPr>
            <w:r>
              <w:rPr>
                <w:sz w:val="24"/>
              </w:rPr>
              <w:t>9</w:t>
            </w:r>
            <w:r>
              <w:rPr>
                <w:rFonts w:hint="eastAsia"/>
                <w:sz w:val="24"/>
              </w:rPr>
              <w:t>．</w:t>
            </w:r>
            <w:r>
              <w:rPr>
                <w:sz w:val="24"/>
              </w:rPr>
              <w:t>新增取得专业技术人员职业资格证书人数（万人）</w:t>
            </w:r>
          </w:p>
        </w:tc>
        <w:tc>
          <w:tcPr>
            <w:tcW w:w="1421" w:type="dxa"/>
            <w:vAlign w:val="center"/>
          </w:tcPr>
          <w:p>
            <w:pPr>
              <w:overflowPunct w:val="0"/>
              <w:jc w:val="center"/>
              <w:rPr>
                <w:sz w:val="24"/>
              </w:rPr>
            </w:pPr>
            <w:r>
              <w:rPr>
                <w:sz w:val="24"/>
              </w:rPr>
              <w:t>—</w:t>
            </w:r>
          </w:p>
        </w:tc>
        <w:tc>
          <w:tcPr>
            <w:tcW w:w="1422" w:type="dxa"/>
            <w:vAlign w:val="center"/>
          </w:tcPr>
          <w:p>
            <w:pPr>
              <w:overflowPunct w:val="0"/>
              <w:jc w:val="center"/>
              <w:rPr>
                <w:sz w:val="24"/>
              </w:rPr>
            </w:pPr>
            <w:r>
              <w:rPr>
                <w:sz w:val="24"/>
              </w:rPr>
              <w:t>〔80〕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10</w:t>
            </w:r>
            <w:r>
              <w:rPr>
                <w:rFonts w:hint="eastAsia"/>
                <w:sz w:val="24"/>
              </w:rPr>
              <w:t>．</w:t>
            </w:r>
            <w:r>
              <w:rPr>
                <w:sz w:val="24"/>
              </w:rPr>
              <w:t>博士后研究人员年招收数（人）</w:t>
            </w:r>
          </w:p>
        </w:tc>
        <w:tc>
          <w:tcPr>
            <w:tcW w:w="1421" w:type="dxa"/>
            <w:vAlign w:val="center"/>
          </w:tcPr>
          <w:p>
            <w:pPr>
              <w:overflowPunct w:val="0"/>
              <w:jc w:val="center"/>
              <w:rPr>
                <w:rFonts w:eastAsia="宋体"/>
                <w:sz w:val="24"/>
              </w:rPr>
            </w:pPr>
            <w:r>
              <w:rPr>
                <w:rFonts w:hint="eastAsia"/>
                <w:sz w:val="24"/>
              </w:rPr>
              <w:t>1612</w:t>
            </w:r>
          </w:p>
        </w:tc>
        <w:tc>
          <w:tcPr>
            <w:tcW w:w="1422" w:type="dxa"/>
            <w:vAlign w:val="center"/>
          </w:tcPr>
          <w:p>
            <w:pPr>
              <w:overflowPunct w:val="0"/>
              <w:jc w:val="center"/>
              <w:rPr>
                <w:rFonts w:eastAsia="宋体"/>
                <w:sz w:val="24"/>
              </w:rPr>
            </w:pPr>
            <w:r>
              <w:rPr>
                <w:sz w:val="24"/>
              </w:rPr>
              <w:t>1100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11</w:t>
            </w:r>
            <w:r>
              <w:rPr>
                <w:rFonts w:hint="eastAsia"/>
                <w:sz w:val="24"/>
              </w:rPr>
              <w:t>．</w:t>
            </w:r>
            <w:r>
              <w:rPr>
                <w:sz w:val="24"/>
              </w:rPr>
              <w:t>技能人才总量（万人）</w:t>
            </w:r>
          </w:p>
        </w:tc>
        <w:tc>
          <w:tcPr>
            <w:tcW w:w="1421" w:type="dxa"/>
            <w:vAlign w:val="center"/>
          </w:tcPr>
          <w:p>
            <w:pPr>
              <w:overflowPunct w:val="0"/>
              <w:jc w:val="center"/>
              <w:rPr>
                <w:sz w:val="24"/>
              </w:rPr>
            </w:pPr>
            <w:r>
              <w:rPr>
                <w:sz w:val="24"/>
              </w:rPr>
              <w:t>1013</w:t>
            </w:r>
          </w:p>
        </w:tc>
        <w:tc>
          <w:tcPr>
            <w:tcW w:w="1422" w:type="dxa"/>
            <w:vAlign w:val="center"/>
          </w:tcPr>
          <w:p>
            <w:pPr>
              <w:overflowPunct w:val="0"/>
              <w:jc w:val="center"/>
              <w:rPr>
                <w:sz w:val="24"/>
              </w:rPr>
            </w:pPr>
            <w:r>
              <w:rPr>
                <w:sz w:val="24"/>
              </w:rPr>
              <w:t>1150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12</w:t>
            </w:r>
            <w:r>
              <w:rPr>
                <w:rFonts w:hint="eastAsia"/>
                <w:sz w:val="24"/>
              </w:rPr>
              <w:t>．</w:t>
            </w:r>
            <w:r>
              <w:rPr>
                <w:sz w:val="24"/>
              </w:rPr>
              <w:t>高技能人才数量</w:t>
            </w:r>
            <w:r>
              <w:rPr>
                <w:rFonts w:hint="eastAsia"/>
                <w:sz w:val="24"/>
              </w:rPr>
              <w:t>（</w:t>
            </w:r>
            <w:r>
              <w:rPr>
                <w:sz w:val="24"/>
              </w:rPr>
              <w:t>万人）</w:t>
            </w:r>
          </w:p>
        </w:tc>
        <w:tc>
          <w:tcPr>
            <w:tcW w:w="1421" w:type="dxa"/>
            <w:vAlign w:val="center"/>
          </w:tcPr>
          <w:p>
            <w:pPr>
              <w:overflowPunct w:val="0"/>
              <w:jc w:val="center"/>
              <w:rPr>
                <w:sz w:val="24"/>
              </w:rPr>
            </w:pPr>
            <w:r>
              <w:rPr>
                <w:sz w:val="24"/>
              </w:rPr>
              <w:t>321.8</w:t>
            </w:r>
          </w:p>
        </w:tc>
        <w:tc>
          <w:tcPr>
            <w:tcW w:w="1422" w:type="dxa"/>
            <w:vAlign w:val="center"/>
          </w:tcPr>
          <w:p>
            <w:pPr>
              <w:overflowPunct w:val="0"/>
              <w:jc w:val="center"/>
              <w:rPr>
                <w:sz w:val="24"/>
              </w:rPr>
            </w:pPr>
            <w:r>
              <w:rPr>
                <w:sz w:val="24"/>
              </w:rPr>
              <w:t>400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39" w:hRule="atLeast"/>
          <w:jc w:val="center"/>
        </w:trPr>
        <w:tc>
          <w:tcPr>
            <w:tcW w:w="4581" w:type="dxa"/>
            <w:vAlign w:val="center"/>
          </w:tcPr>
          <w:p>
            <w:pPr>
              <w:overflowPunct w:val="0"/>
              <w:adjustRightInd w:val="0"/>
              <w:snapToGrid w:val="0"/>
              <w:rPr>
                <w:sz w:val="24"/>
              </w:rPr>
            </w:pPr>
            <w:r>
              <w:rPr>
                <w:sz w:val="24"/>
              </w:rPr>
              <w:t>13</w:t>
            </w:r>
            <w:r>
              <w:rPr>
                <w:rFonts w:hint="eastAsia"/>
                <w:sz w:val="24"/>
              </w:rPr>
              <w:t>．</w:t>
            </w:r>
            <w:r>
              <w:rPr>
                <w:sz w:val="24"/>
              </w:rPr>
              <w:t>新增取得职业资格证书或职业技能等级证书人数（万人）</w:t>
            </w:r>
          </w:p>
        </w:tc>
        <w:tc>
          <w:tcPr>
            <w:tcW w:w="1421" w:type="dxa"/>
            <w:vAlign w:val="center"/>
          </w:tcPr>
          <w:p>
            <w:pPr>
              <w:overflowPunct w:val="0"/>
              <w:jc w:val="center"/>
              <w:rPr>
                <w:sz w:val="24"/>
              </w:rPr>
            </w:pPr>
            <w:r>
              <w:rPr>
                <w:sz w:val="24"/>
              </w:rPr>
              <w:t>—</w:t>
            </w:r>
          </w:p>
        </w:tc>
        <w:tc>
          <w:tcPr>
            <w:tcW w:w="1422" w:type="dxa"/>
            <w:vAlign w:val="center"/>
          </w:tcPr>
          <w:p>
            <w:pPr>
              <w:overflowPunct w:val="0"/>
              <w:jc w:val="center"/>
              <w:rPr>
                <w:sz w:val="24"/>
              </w:rPr>
            </w:pPr>
            <w:r>
              <w:rPr>
                <w:sz w:val="24"/>
              </w:rPr>
              <w:t>〔140〕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39" w:hRule="atLeast"/>
          <w:jc w:val="center"/>
        </w:trPr>
        <w:tc>
          <w:tcPr>
            <w:tcW w:w="4581" w:type="dxa"/>
            <w:vAlign w:val="center"/>
          </w:tcPr>
          <w:p>
            <w:pPr>
              <w:overflowPunct w:val="0"/>
              <w:adjustRightInd w:val="0"/>
              <w:snapToGrid w:val="0"/>
              <w:rPr>
                <w:sz w:val="24"/>
              </w:rPr>
            </w:pPr>
            <w:r>
              <w:rPr>
                <w:sz w:val="24"/>
              </w:rPr>
              <w:t>14</w:t>
            </w:r>
            <w:r>
              <w:rPr>
                <w:rFonts w:hint="eastAsia"/>
                <w:sz w:val="24"/>
              </w:rPr>
              <w:t>．</w:t>
            </w:r>
            <w:r>
              <w:rPr>
                <w:sz w:val="24"/>
              </w:rPr>
              <w:t>其中：新增取得高级工以上职业资格证书或职业技能等级证书人数（万人）</w:t>
            </w:r>
          </w:p>
        </w:tc>
        <w:tc>
          <w:tcPr>
            <w:tcW w:w="1421" w:type="dxa"/>
            <w:vAlign w:val="center"/>
          </w:tcPr>
          <w:p>
            <w:pPr>
              <w:overflowPunct w:val="0"/>
              <w:jc w:val="center"/>
              <w:rPr>
                <w:sz w:val="24"/>
              </w:rPr>
            </w:pPr>
            <w:r>
              <w:rPr>
                <w:sz w:val="24"/>
              </w:rPr>
              <w:t>—</w:t>
            </w:r>
          </w:p>
        </w:tc>
        <w:tc>
          <w:tcPr>
            <w:tcW w:w="1422" w:type="dxa"/>
            <w:vAlign w:val="center"/>
          </w:tcPr>
          <w:p>
            <w:pPr>
              <w:overflowPunct w:val="0"/>
              <w:jc w:val="center"/>
              <w:rPr>
                <w:sz w:val="24"/>
              </w:rPr>
            </w:pPr>
            <w:r>
              <w:rPr>
                <w:sz w:val="24"/>
              </w:rPr>
              <w:t>〔100〕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39" w:hRule="atLeast"/>
          <w:jc w:val="center"/>
        </w:trPr>
        <w:tc>
          <w:tcPr>
            <w:tcW w:w="8845" w:type="dxa"/>
            <w:gridSpan w:val="4"/>
            <w:vAlign w:val="center"/>
          </w:tcPr>
          <w:p>
            <w:pPr>
              <w:overflowPunct w:val="0"/>
              <w:rPr>
                <w:b/>
                <w:bCs/>
                <w:sz w:val="24"/>
              </w:rPr>
            </w:pPr>
            <w:r>
              <w:rPr>
                <w:b/>
                <w:bCs/>
                <w:sz w:val="24"/>
              </w:rPr>
              <w:t>四、劳动关系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39" w:hRule="atLeast"/>
          <w:jc w:val="center"/>
        </w:trPr>
        <w:tc>
          <w:tcPr>
            <w:tcW w:w="4581" w:type="dxa"/>
            <w:vAlign w:val="center"/>
          </w:tcPr>
          <w:p>
            <w:pPr>
              <w:overflowPunct w:val="0"/>
              <w:rPr>
                <w:sz w:val="24"/>
              </w:rPr>
            </w:pPr>
            <w:r>
              <w:rPr>
                <w:sz w:val="24"/>
              </w:rPr>
              <w:t>15</w:t>
            </w:r>
            <w:r>
              <w:rPr>
                <w:rFonts w:hint="eastAsia"/>
                <w:sz w:val="24"/>
              </w:rPr>
              <w:t>．</w:t>
            </w:r>
            <w:r>
              <w:rPr>
                <w:sz w:val="24"/>
              </w:rPr>
              <w:t>劳动人事争议调解成功率（%）</w:t>
            </w:r>
          </w:p>
        </w:tc>
        <w:tc>
          <w:tcPr>
            <w:tcW w:w="1421" w:type="dxa"/>
            <w:vAlign w:val="center"/>
          </w:tcPr>
          <w:p>
            <w:pPr>
              <w:overflowPunct w:val="0"/>
              <w:jc w:val="center"/>
              <w:rPr>
                <w:sz w:val="24"/>
              </w:rPr>
            </w:pPr>
            <w:r>
              <w:rPr>
                <w:rFonts w:hint="eastAsia"/>
                <w:sz w:val="24"/>
              </w:rPr>
              <w:t>80</w:t>
            </w:r>
          </w:p>
        </w:tc>
        <w:tc>
          <w:tcPr>
            <w:tcW w:w="1422" w:type="dxa"/>
            <w:vAlign w:val="center"/>
          </w:tcPr>
          <w:p>
            <w:pPr>
              <w:overflowPunct w:val="0"/>
              <w:jc w:val="center"/>
              <w:rPr>
                <w:sz w:val="24"/>
              </w:rPr>
            </w:pPr>
            <w:r>
              <w:rPr>
                <w:sz w:val="24"/>
              </w:rPr>
              <w:t>80</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39" w:hRule="atLeast"/>
          <w:jc w:val="center"/>
        </w:trPr>
        <w:tc>
          <w:tcPr>
            <w:tcW w:w="4581" w:type="dxa"/>
            <w:vAlign w:val="center"/>
          </w:tcPr>
          <w:p>
            <w:pPr>
              <w:overflowPunct w:val="0"/>
              <w:rPr>
                <w:sz w:val="24"/>
              </w:rPr>
            </w:pPr>
            <w:r>
              <w:rPr>
                <w:sz w:val="24"/>
              </w:rPr>
              <w:t>16</w:t>
            </w:r>
            <w:r>
              <w:rPr>
                <w:rFonts w:hint="eastAsia"/>
                <w:sz w:val="24"/>
              </w:rPr>
              <w:t>．</w:t>
            </w:r>
            <w:r>
              <w:rPr>
                <w:sz w:val="24"/>
              </w:rPr>
              <w:t>劳动人事争议仲裁结案率（%）</w:t>
            </w:r>
          </w:p>
        </w:tc>
        <w:tc>
          <w:tcPr>
            <w:tcW w:w="1421" w:type="dxa"/>
            <w:vAlign w:val="center"/>
          </w:tcPr>
          <w:p>
            <w:pPr>
              <w:overflowPunct w:val="0"/>
              <w:jc w:val="center"/>
              <w:rPr>
                <w:sz w:val="24"/>
              </w:rPr>
            </w:pPr>
            <w:r>
              <w:rPr>
                <w:sz w:val="24"/>
              </w:rPr>
              <w:t>94</w:t>
            </w:r>
          </w:p>
        </w:tc>
        <w:tc>
          <w:tcPr>
            <w:tcW w:w="1422" w:type="dxa"/>
            <w:vAlign w:val="center"/>
          </w:tcPr>
          <w:p>
            <w:pPr>
              <w:overflowPunct w:val="0"/>
              <w:jc w:val="center"/>
              <w:rPr>
                <w:sz w:val="24"/>
              </w:rPr>
            </w:pPr>
            <w:r>
              <w:rPr>
                <w:sz w:val="24"/>
              </w:rPr>
              <w:t>92</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39" w:hRule="atLeast"/>
          <w:jc w:val="center"/>
        </w:trPr>
        <w:tc>
          <w:tcPr>
            <w:tcW w:w="4581" w:type="dxa"/>
            <w:vAlign w:val="center"/>
          </w:tcPr>
          <w:p>
            <w:pPr>
              <w:overflowPunct w:val="0"/>
              <w:rPr>
                <w:sz w:val="24"/>
              </w:rPr>
            </w:pPr>
            <w:r>
              <w:rPr>
                <w:sz w:val="24"/>
              </w:rPr>
              <w:t>17</w:t>
            </w:r>
            <w:r>
              <w:rPr>
                <w:rFonts w:hint="eastAsia"/>
                <w:sz w:val="24"/>
              </w:rPr>
              <w:t>．</w:t>
            </w:r>
            <w:r>
              <w:rPr>
                <w:sz w:val="24"/>
              </w:rPr>
              <w:t>劳动保障监察举报投诉案件结案率（%）</w:t>
            </w:r>
          </w:p>
        </w:tc>
        <w:tc>
          <w:tcPr>
            <w:tcW w:w="1421" w:type="dxa"/>
            <w:vAlign w:val="center"/>
          </w:tcPr>
          <w:p>
            <w:pPr>
              <w:overflowPunct w:val="0"/>
              <w:jc w:val="center"/>
              <w:rPr>
                <w:sz w:val="24"/>
              </w:rPr>
            </w:pPr>
            <w:r>
              <w:rPr>
                <w:sz w:val="24"/>
              </w:rPr>
              <w:t>100</w:t>
            </w:r>
          </w:p>
        </w:tc>
        <w:tc>
          <w:tcPr>
            <w:tcW w:w="1422" w:type="dxa"/>
            <w:vAlign w:val="center"/>
          </w:tcPr>
          <w:p>
            <w:pPr>
              <w:overflowPunct w:val="0"/>
              <w:jc w:val="center"/>
              <w:rPr>
                <w:rFonts w:eastAsia="宋体"/>
                <w:sz w:val="24"/>
              </w:rPr>
            </w:pPr>
            <w:r>
              <w:rPr>
                <w:sz w:val="24"/>
              </w:rPr>
              <w:t>99</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jc w:val="center"/>
              <w:rPr>
                <w:rFonts w:eastAsia="黑体"/>
                <w:sz w:val="24"/>
              </w:rPr>
            </w:pPr>
            <w:r>
              <w:rPr>
                <w:rFonts w:eastAsia="黑体"/>
                <w:sz w:val="24"/>
              </w:rPr>
              <w:t>指     标</w:t>
            </w:r>
          </w:p>
        </w:tc>
        <w:tc>
          <w:tcPr>
            <w:tcW w:w="1421" w:type="dxa"/>
            <w:vAlign w:val="center"/>
          </w:tcPr>
          <w:p>
            <w:pPr>
              <w:overflowPunct w:val="0"/>
              <w:adjustRightInd w:val="0"/>
              <w:snapToGrid w:val="0"/>
              <w:jc w:val="center"/>
              <w:rPr>
                <w:rFonts w:eastAsia="黑体"/>
                <w:sz w:val="24"/>
              </w:rPr>
            </w:pPr>
            <w:r>
              <w:rPr>
                <w:rFonts w:eastAsia="黑体"/>
                <w:sz w:val="24"/>
              </w:rPr>
              <w:t>2020年</w:t>
            </w:r>
          </w:p>
          <w:p>
            <w:pPr>
              <w:overflowPunct w:val="0"/>
              <w:adjustRightInd w:val="0"/>
              <w:snapToGrid w:val="0"/>
              <w:jc w:val="center"/>
              <w:rPr>
                <w:rFonts w:eastAsia="黑体"/>
                <w:sz w:val="24"/>
              </w:rPr>
            </w:pPr>
            <w:r>
              <w:rPr>
                <w:rFonts w:eastAsia="黑体"/>
                <w:sz w:val="24"/>
              </w:rPr>
              <w:t>基数</w:t>
            </w:r>
          </w:p>
        </w:tc>
        <w:tc>
          <w:tcPr>
            <w:tcW w:w="1422" w:type="dxa"/>
            <w:vAlign w:val="center"/>
          </w:tcPr>
          <w:p>
            <w:pPr>
              <w:overflowPunct w:val="0"/>
              <w:adjustRightInd w:val="0"/>
              <w:snapToGrid w:val="0"/>
              <w:jc w:val="center"/>
              <w:rPr>
                <w:rFonts w:eastAsia="黑体"/>
                <w:sz w:val="24"/>
              </w:rPr>
            </w:pPr>
            <w:r>
              <w:rPr>
                <w:rFonts w:eastAsia="黑体"/>
                <w:sz w:val="24"/>
              </w:rPr>
              <w:t>2025年</w:t>
            </w:r>
          </w:p>
          <w:p>
            <w:pPr>
              <w:overflowPunct w:val="0"/>
              <w:adjustRightInd w:val="0"/>
              <w:snapToGrid w:val="0"/>
              <w:jc w:val="center"/>
              <w:rPr>
                <w:rFonts w:eastAsia="黑体"/>
                <w:sz w:val="24"/>
              </w:rPr>
            </w:pPr>
            <w:r>
              <w:rPr>
                <w:rFonts w:eastAsia="黑体"/>
                <w:sz w:val="24"/>
              </w:rPr>
              <w:t>规划目标</w:t>
            </w:r>
          </w:p>
        </w:tc>
        <w:tc>
          <w:tcPr>
            <w:tcW w:w="1421" w:type="dxa"/>
            <w:vAlign w:val="center"/>
          </w:tcPr>
          <w:p>
            <w:pPr>
              <w:overflowPunct w:val="0"/>
              <w:adjustRightInd w:val="0"/>
              <w:snapToGrid w:val="0"/>
              <w:jc w:val="center"/>
              <w:rPr>
                <w:rFonts w:eastAsia="黑体"/>
                <w:sz w:val="24"/>
              </w:rPr>
            </w:pPr>
            <w:r>
              <w:rPr>
                <w:rFonts w:eastAsia="黑体"/>
                <w:sz w:val="24"/>
              </w:rPr>
              <w:t>属  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4"/>
            <w:vAlign w:val="center"/>
          </w:tcPr>
          <w:p>
            <w:pPr>
              <w:overflowPunct w:val="0"/>
              <w:rPr>
                <w:b/>
                <w:bCs/>
                <w:sz w:val="24"/>
              </w:rPr>
            </w:pPr>
            <w:r>
              <w:rPr>
                <w:b/>
                <w:bCs/>
                <w:sz w:val="24"/>
              </w:rPr>
              <w:t>五、公共服务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18</w:t>
            </w:r>
            <w:r>
              <w:rPr>
                <w:rFonts w:hint="eastAsia"/>
                <w:sz w:val="24"/>
              </w:rPr>
              <w:t>．</w:t>
            </w:r>
            <w:r>
              <w:rPr>
                <w:sz w:val="24"/>
              </w:rPr>
              <w:t>社会保障卡持卡人数（万张）</w:t>
            </w:r>
          </w:p>
        </w:tc>
        <w:tc>
          <w:tcPr>
            <w:tcW w:w="1421" w:type="dxa"/>
            <w:vAlign w:val="center"/>
          </w:tcPr>
          <w:p>
            <w:pPr>
              <w:overflowPunct w:val="0"/>
              <w:jc w:val="center"/>
              <w:rPr>
                <w:sz w:val="24"/>
              </w:rPr>
            </w:pPr>
            <w:r>
              <w:rPr>
                <w:sz w:val="24"/>
              </w:rPr>
              <w:t>6065</w:t>
            </w:r>
          </w:p>
        </w:tc>
        <w:tc>
          <w:tcPr>
            <w:tcW w:w="1422" w:type="dxa"/>
            <w:vAlign w:val="center"/>
          </w:tcPr>
          <w:p>
            <w:pPr>
              <w:overflowPunct w:val="0"/>
              <w:jc w:val="center"/>
              <w:rPr>
                <w:sz w:val="24"/>
              </w:rPr>
            </w:pPr>
            <w:r>
              <w:rPr>
                <w:sz w:val="24"/>
              </w:rPr>
              <w:t>6265</w:t>
            </w:r>
          </w:p>
        </w:tc>
        <w:tc>
          <w:tcPr>
            <w:tcW w:w="1421" w:type="dxa"/>
            <w:vAlign w:val="center"/>
          </w:tcPr>
          <w:p>
            <w:pPr>
              <w:overflowPunct w:val="0"/>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4581" w:type="dxa"/>
            <w:vAlign w:val="center"/>
          </w:tcPr>
          <w:p>
            <w:pPr>
              <w:overflowPunct w:val="0"/>
              <w:rPr>
                <w:sz w:val="24"/>
              </w:rPr>
            </w:pPr>
            <w:r>
              <w:rPr>
                <w:sz w:val="24"/>
              </w:rPr>
              <w:t>19</w:t>
            </w:r>
            <w:r>
              <w:rPr>
                <w:rFonts w:hint="eastAsia"/>
                <w:sz w:val="24"/>
              </w:rPr>
              <w:t>．</w:t>
            </w:r>
            <w:r>
              <w:rPr>
                <w:sz w:val="24"/>
              </w:rPr>
              <w:t>其中：申领电子社保卡人口覆盖率</w:t>
            </w:r>
            <w:r>
              <w:rPr>
                <w:rFonts w:hint="eastAsia"/>
                <w:sz w:val="24"/>
              </w:rPr>
              <w:t>（</w:t>
            </w:r>
            <w:r>
              <w:rPr>
                <w:sz w:val="24"/>
              </w:rPr>
              <w:t>%</w:t>
            </w:r>
            <w:r>
              <w:rPr>
                <w:rFonts w:hint="eastAsia"/>
                <w:sz w:val="24"/>
              </w:rPr>
              <w:t>）</w:t>
            </w:r>
          </w:p>
        </w:tc>
        <w:tc>
          <w:tcPr>
            <w:tcW w:w="1421" w:type="dxa"/>
            <w:vAlign w:val="center"/>
          </w:tcPr>
          <w:p>
            <w:pPr>
              <w:overflowPunct w:val="0"/>
              <w:jc w:val="center"/>
              <w:rPr>
                <w:sz w:val="24"/>
              </w:rPr>
            </w:pPr>
            <w:r>
              <w:rPr>
                <w:sz w:val="24"/>
              </w:rPr>
              <w:t>50</w:t>
            </w:r>
          </w:p>
        </w:tc>
        <w:tc>
          <w:tcPr>
            <w:tcW w:w="1422" w:type="dxa"/>
            <w:vAlign w:val="center"/>
          </w:tcPr>
          <w:p>
            <w:pPr>
              <w:overflowPunct w:val="0"/>
              <w:jc w:val="center"/>
              <w:rPr>
                <w:sz w:val="24"/>
              </w:rPr>
            </w:pPr>
            <w:r>
              <w:rPr>
                <w:sz w:val="24"/>
              </w:rPr>
              <w:t>70</w:t>
            </w:r>
          </w:p>
        </w:tc>
        <w:tc>
          <w:tcPr>
            <w:tcW w:w="1421" w:type="dxa"/>
            <w:vAlign w:val="center"/>
          </w:tcPr>
          <w:p>
            <w:pPr>
              <w:overflowPunct w:val="0"/>
              <w:jc w:val="center"/>
              <w:rPr>
                <w:sz w:val="24"/>
              </w:rPr>
            </w:pPr>
            <w:r>
              <w:rPr>
                <w:sz w:val="24"/>
              </w:rPr>
              <w:t>预期性</w:t>
            </w:r>
          </w:p>
        </w:tc>
      </w:tr>
    </w:tbl>
    <w:p>
      <w:pPr>
        <w:overflowPunct w:val="0"/>
        <w:spacing w:line="590" w:lineRule="exact"/>
        <w:ind w:firstLine="480" w:firstLineChars="200"/>
        <w:rPr>
          <w:rStyle w:val="10"/>
          <w:b w:val="0"/>
          <w:sz w:val="24"/>
          <w:szCs w:val="24"/>
        </w:rPr>
      </w:pPr>
      <w:bookmarkStart w:id="16" w:name="_Toc1260647903"/>
      <w:bookmarkStart w:id="17" w:name="_Toc78529342"/>
      <w:bookmarkStart w:id="18" w:name="_Toc11600848"/>
      <w:bookmarkStart w:id="19" w:name="_Toc299457795"/>
      <w:bookmarkStart w:id="20" w:name="_Toc1271894804"/>
      <w:r>
        <w:rPr>
          <w:rStyle w:val="10"/>
          <w:b w:val="0"/>
          <w:sz w:val="24"/>
          <w:szCs w:val="24"/>
        </w:rPr>
        <w:t>注：〔</w:t>
      </w:r>
      <w:r>
        <w:rPr>
          <w:rStyle w:val="10"/>
          <w:rFonts w:hint="eastAsia"/>
          <w:b w:val="0"/>
          <w:sz w:val="24"/>
          <w:szCs w:val="24"/>
        </w:rPr>
        <w:t xml:space="preserve"> </w:t>
      </w:r>
      <w:r>
        <w:rPr>
          <w:rStyle w:val="10"/>
          <w:b w:val="0"/>
          <w:sz w:val="24"/>
          <w:szCs w:val="24"/>
        </w:rPr>
        <w:t>〕内为5年累计数。</w:t>
      </w:r>
    </w:p>
    <w:p>
      <w:pPr>
        <w:overflowPunct w:val="0"/>
        <w:spacing w:line="570" w:lineRule="exact"/>
        <w:ind w:firstLine="640" w:firstLineChars="200"/>
        <w:rPr>
          <w:rFonts w:eastAsia="黑体"/>
          <w:szCs w:val="32"/>
        </w:rPr>
      </w:pPr>
      <w:r>
        <w:rPr>
          <w:rFonts w:eastAsia="黑体"/>
          <w:szCs w:val="32"/>
        </w:rPr>
        <w:t>三、实现更加充分更高质量就业</w:t>
      </w:r>
      <w:bookmarkEnd w:id="16"/>
      <w:bookmarkEnd w:id="17"/>
      <w:bookmarkEnd w:id="18"/>
      <w:bookmarkEnd w:id="19"/>
      <w:bookmarkEnd w:id="20"/>
    </w:p>
    <w:p>
      <w:pPr>
        <w:overflowPunct w:val="0"/>
        <w:spacing w:line="570" w:lineRule="exact"/>
        <w:ind w:firstLine="640" w:firstLineChars="200"/>
        <w:rPr>
          <w:szCs w:val="32"/>
        </w:rPr>
      </w:pPr>
      <w:bookmarkStart w:id="21" w:name="_Toc68911861"/>
      <w:r>
        <w:rPr>
          <w:szCs w:val="32"/>
        </w:rPr>
        <w:t>大力实施就业优先政策，健全有利于更加充分更高质量就业的促进机制。加强重点群体就业扶持，激发创业带动就业活力，加快提升劳动者技能，着力缓解就业结构性矛盾，交出浙江就业高分报表。</w:t>
      </w:r>
    </w:p>
    <w:p>
      <w:pPr>
        <w:overflowPunct w:val="0"/>
        <w:spacing w:line="570" w:lineRule="exact"/>
        <w:ind w:firstLine="640" w:firstLineChars="200"/>
        <w:rPr>
          <w:szCs w:val="32"/>
        </w:rPr>
      </w:pPr>
      <w:r>
        <w:rPr>
          <w:rStyle w:val="10"/>
          <w:b w:val="0"/>
          <w:szCs w:val="32"/>
        </w:rPr>
        <w:t>（一）强化就业优先</w:t>
      </w:r>
      <w:bookmarkEnd w:id="21"/>
      <w:r>
        <w:rPr>
          <w:rStyle w:val="10"/>
          <w:b w:val="0"/>
          <w:szCs w:val="32"/>
        </w:rPr>
        <w:t>导向</w:t>
      </w:r>
      <w:r>
        <w:rPr>
          <w:rFonts w:eastAsia="楷体_GB2312"/>
          <w:b/>
          <w:szCs w:val="32"/>
        </w:rPr>
        <w:t>。</w:t>
      </w:r>
      <w:r>
        <w:rPr>
          <w:szCs w:val="32"/>
        </w:rPr>
        <w:t>将更充分更高质量就业作为经济社会发展的优先目标，构建科学合理的高质量就业评价体系。建立就业影响评估机制，在制定实施发展改革、社会管理等重大政策和安排重大产业、重大工程项目时，充分考虑对就业吸纳能力、就业环境、就业质量等方面可能产生的影响。建立财政、金融和就业政策协同机制，探索实施与企业稳岗扩岗相挂钩的财政补贴、贷款支持等政策。压实政府促进就业主体责任，健全县以上政府就业工作组织领导机制，完善就业工作督查激励机制。统筹用好就业补助资金、失业保险基金等，保障就业政策顺利实施。</w:t>
      </w:r>
    </w:p>
    <w:p>
      <w:pPr>
        <w:overflowPunct w:val="0"/>
        <w:spacing w:line="590" w:lineRule="exact"/>
        <w:ind w:firstLine="640" w:firstLineChars="200"/>
        <w:rPr>
          <w:szCs w:val="32"/>
        </w:rPr>
      </w:pPr>
      <w:bookmarkStart w:id="22" w:name="_Toc68911862"/>
      <w:r>
        <w:rPr>
          <w:rStyle w:val="10"/>
          <w:b w:val="0"/>
          <w:szCs w:val="32"/>
        </w:rPr>
        <w:t>（二）</w:t>
      </w:r>
      <w:bookmarkEnd w:id="22"/>
      <w:r>
        <w:rPr>
          <w:rStyle w:val="10"/>
          <w:b w:val="0"/>
          <w:szCs w:val="32"/>
        </w:rPr>
        <w:t>完善积极就业政策体系</w:t>
      </w:r>
      <w:r>
        <w:rPr>
          <w:rFonts w:eastAsia="楷体_GB2312"/>
          <w:b/>
          <w:szCs w:val="32"/>
        </w:rPr>
        <w:t>。</w:t>
      </w:r>
      <w:r>
        <w:rPr>
          <w:szCs w:val="32"/>
        </w:rPr>
        <w:t>支持企业稳定岗位，鼓励市场主体吸纳就业，激励劳动者自主创业，促进城乡统筹就业，着力提高政策的针对性、有效性、稳定性。加强用工服务保障，实施裁员和缺工重点企业清单管理制度，帮助企业减负稳岗。顺应新业态快速发展趋势，大力支持灵活就业。深化“十省百市千县”省际劳务合作长效机制，建立劳务对接信息平台，畅通省外务工人员来浙就业通道，重点做好对口地区务工人员就业帮扶。大力开展以县乡为单位就近劳动力余缺调剂。进一步消除户籍、地域、身份、性别等影响平等就业的制度障碍，推动城乡劳动者在就业地同等享受就业服务和政策。</w:t>
      </w:r>
    </w:p>
    <w:p>
      <w:pPr>
        <w:overflowPunct w:val="0"/>
        <w:spacing w:line="590" w:lineRule="exact"/>
        <w:ind w:firstLine="640" w:firstLineChars="200"/>
        <w:rPr>
          <w:szCs w:val="32"/>
        </w:rPr>
      </w:pPr>
      <w:bookmarkStart w:id="23" w:name="_Toc68911863"/>
      <w:r>
        <w:rPr>
          <w:rStyle w:val="10"/>
          <w:b w:val="0"/>
          <w:szCs w:val="32"/>
        </w:rPr>
        <w:t>（三）突出保障重点群体就业</w:t>
      </w:r>
      <w:bookmarkEnd w:id="23"/>
      <w:r>
        <w:rPr>
          <w:rFonts w:eastAsia="楷体_GB2312"/>
          <w:b/>
          <w:szCs w:val="32"/>
        </w:rPr>
        <w:t>。</w:t>
      </w:r>
      <w:r>
        <w:rPr>
          <w:szCs w:val="32"/>
        </w:rPr>
        <w:t>坚持把高校毕业生就业作为重中之重，以智力密集型产业、现代服务业以及新业态、新模式为重点，开发更多适合高校毕业生的高质量就业岗位；鼓励各地根据发展实际有序引进高校毕业生，加强人才储备；实施就业创业促进计划和基层成长计划，引导毕业生到新兴产业、中小微企业和基层就业。实施就业困难人员精准帮扶计划，实现零就业家庭动态清零。统筹做好妇女、退役军人、农民工和残疾人等群体就业工作，推进老年人力资源开发利用。</w:t>
      </w:r>
    </w:p>
    <w:p>
      <w:pPr>
        <w:overflowPunct w:val="0"/>
        <w:spacing w:line="590" w:lineRule="exact"/>
        <w:ind w:firstLine="640" w:firstLineChars="200"/>
        <w:rPr>
          <w:szCs w:val="32"/>
        </w:rPr>
      </w:pPr>
      <w:bookmarkStart w:id="24" w:name="_Toc68911864"/>
      <w:r>
        <w:rPr>
          <w:rStyle w:val="10"/>
          <w:b w:val="0"/>
          <w:szCs w:val="32"/>
        </w:rPr>
        <w:t>（四）全力促进创业带动就业</w:t>
      </w:r>
      <w:bookmarkEnd w:id="24"/>
      <w:r>
        <w:rPr>
          <w:rFonts w:eastAsia="楷体_GB2312"/>
          <w:b/>
          <w:szCs w:val="32"/>
        </w:rPr>
        <w:t>。</w:t>
      </w:r>
      <w:r>
        <w:rPr>
          <w:szCs w:val="32"/>
        </w:rPr>
        <w:t>完善创业政策体系，推动建立创业带动就业专项资金长效投入机制。推进创业孵化基地高质量建设。强化创业指导队伍建设，加大创业培训力度，深入开展创业精准服务。深化“奇思妙想浙江行”创业活动，联动举办创业大赛、讲师大赛、创业成果展示等活动，培育一批创业典型，营造更加浓厚的创业氛围。</w:t>
      </w:r>
    </w:p>
    <w:p>
      <w:pPr>
        <w:overflowPunct w:val="0"/>
        <w:spacing w:line="590" w:lineRule="exact"/>
        <w:ind w:firstLine="640" w:firstLineChars="200"/>
        <w:rPr>
          <w:szCs w:val="32"/>
        </w:rPr>
      </w:pPr>
      <w:bookmarkStart w:id="25" w:name="_Toc78529348"/>
      <w:r>
        <w:rPr>
          <w:rStyle w:val="10"/>
          <w:b w:val="0"/>
          <w:szCs w:val="32"/>
        </w:rPr>
        <w:t>（五）</w:t>
      </w:r>
      <w:r>
        <w:rPr>
          <w:rFonts w:eastAsia="楷体_GB2312"/>
          <w:szCs w:val="32"/>
          <w:u w:val="none" w:color="000000"/>
        </w:rPr>
        <w:t>加强就业形势分析研判。</w:t>
      </w:r>
      <w:r>
        <w:rPr>
          <w:szCs w:val="32"/>
        </w:rPr>
        <w:t>构建覆盖人力资源市场、用工主体和劳动者的就业失业统计监测调查体系，推动就业数据跨部门共享，形成集统计、监测、分析、预警为一体的工作体系。深入研究技术进步、人口结构变化等对就业的影响，加强重点地区、重点行业、重点企业岗位动态监测，及时分析预测就业市场变化。健全就业形势定期会商研判机制，落实就业领域重大突发事件应急处置预案，有效防范规模性失业风险。</w:t>
      </w:r>
    </w:p>
    <w:p>
      <w:pPr>
        <w:overflowPunct w:val="0"/>
        <w:spacing w:line="590" w:lineRule="exact"/>
        <w:ind w:firstLine="640" w:firstLineChars="200"/>
        <w:rPr>
          <w:szCs w:val="32"/>
        </w:rPr>
      </w:pPr>
      <w:r>
        <w:rPr>
          <w:rStyle w:val="10"/>
          <w:b w:val="0"/>
          <w:szCs w:val="32"/>
        </w:rPr>
        <w:t>（六）加强终身职业技能培训</w:t>
      </w:r>
      <w:bookmarkEnd w:id="25"/>
      <w:r>
        <w:rPr>
          <w:rFonts w:eastAsia="楷体_GB2312"/>
          <w:b/>
          <w:szCs w:val="32"/>
        </w:rPr>
        <w:t>。</w:t>
      </w:r>
      <w:r>
        <w:rPr>
          <w:szCs w:val="32"/>
        </w:rPr>
        <w:t>聚焦数字安防、绿色石化、汽车及零部件、现代纺织和服装等产业集群和养老、家政、快递等民生服务业以及其他重点产业，以金蓝领职业技能提升行动为抓手，大规模开展线上线下职业技能培训。深化校企合作，全面实施企业新型学徒制。建立健全终身职业技能培训制度，形成市场培训和政府补贴培训相结合的工作机制。引导行业龙头企业帮助中小微企业开展培训。支持规上企业建设一批培训中心，开展企业职工技能培训。</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845" w:type="dxa"/>
            <w:vAlign w:val="center"/>
          </w:tcPr>
          <w:p>
            <w:pPr>
              <w:overflowPunct w:val="0"/>
              <w:spacing w:before="240" w:beforeLines="100" w:after="240" w:afterLines="100" w:line="360" w:lineRule="exact"/>
              <w:jc w:val="center"/>
              <w:rPr>
                <w:rFonts w:eastAsia="黑体"/>
                <w:sz w:val="28"/>
                <w:szCs w:val="28"/>
              </w:rPr>
            </w:pPr>
            <w:r>
              <w:rPr>
                <w:rFonts w:eastAsia="黑体"/>
                <w:sz w:val="28"/>
                <w:szCs w:val="28"/>
              </w:rPr>
              <w:t xml:space="preserve">专栏3 </w:t>
            </w:r>
            <w:r>
              <w:rPr>
                <w:rFonts w:hint="eastAsia" w:eastAsia="黑体"/>
                <w:sz w:val="28"/>
                <w:szCs w:val="28"/>
              </w:rPr>
              <w:t xml:space="preserve"> </w:t>
            </w:r>
            <w:r>
              <w:rPr>
                <w:rFonts w:eastAsia="黑体"/>
                <w:sz w:val="28"/>
                <w:szCs w:val="28"/>
              </w:rPr>
              <w:t>高质量就业专项行动</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01 高校毕业生就业创业促进计划</w:t>
            </w:r>
          </w:p>
          <w:p>
            <w:pPr>
              <w:overflowPunct w:val="0"/>
              <w:adjustRightInd w:val="0"/>
              <w:snapToGrid w:val="0"/>
              <w:spacing w:line="360" w:lineRule="exact"/>
              <w:ind w:firstLine="480" w:firstLineChars="200"/>
              <w:rPr>
                <w:sz w:val="24"/>
              </w:rPr>
            </w:pPr>
            <w:r>
              <w:rPr>
                <w:sz w:val="24"/>
              </w:rPr>
              <w:t>健全多部门联动、全社会参与的高校毕业生就业创业服务体系。强化培训见习实习，提升毕业生就业能力；优化政策扶持，促进毕业生创业创新；做好离校前后信息衔接，实现专项招聘活动常态化；加强岗位推荐、培训指导、创业扶持精细化管理，有就业意愿的离校未就业毕业生100%实现就业。</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02 就业困难人员精准帮扶计划</w:t>
            </w:r>
          </w:p>
          <w:p>
            <w:pPr>
              <w:overflowPunct w:val="0"/>
              <w:adjustRightInd w:val="0"/>
              <w:snapToGrid w:val="0"/>
              <w:spacing w:line="360" w:lineRule="exact"/>
              <w:ind w:firstLine="480" w:firstLineChars="200"/>
              <w:rPr>
                <w:sz w:val="24"/>
              </w:rPr>
            </w:pPr>
            <w:r>
              <w:rPr>
                <w:sz w:val="24"/>
              </w:rPr>
              <w:t>每年帮扶困难人员实现就业7万人。规范就业困难人员进入和退出机制，提高帮扶的针对性和主动性，推动政策应享尽享。联动社会救助，推进“一件事”办理，建立困难人员帮扶快速响应制度。强化一对一服务，实施岗位对接、技能培训、政策落实全程跟踪反馈。按需开发储备一批公益性岗位，兜底安置难以通过市场实现就业的困难人员。</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03 多渠道灵活就业支持计划</w:t>
            </w:r>
          </w:p>
          <w:p>
            <w:pPr>
              <w:overflowPunct w:val="0"/>
              <w:adjustRightInd w:val="0"/>
              <w:snapToGrid w:val="0"/>
              <w:spacing w:line="360" w:lineRule="exact"/>
              <w:ind w:firstLine="480" w:firstLineChars="200"/>
              <w:rPr>
                <w:sz w:val="24"/>
              </w:rPr>
            </w:pPr>
            <w:r>
              <w:rPr>
                <w:sz w:val="24"/>
              </w:rPr>
              <w:t>支持重点群体从事个体经营，合理扩大社区服务等非全日制就业规模，探索建立新就业形态岗位信息采集和统计监测制度，并把供求信息纳入公共就业服务范围，支持人力资源服务机构灵活就业人员提供招聘、培训、人力资源外包等专业化服务。开展差异化职业培训，提升灵活就业人员技能水平。</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04 促进大众创业项目</w:t>
            </w:r>
          </w:p>
          <w:p>
            <w:pPr>
              <w:overflowPunct w:val="0"/>
              <w:adjustRightInd w:val="0"/>
              <w:snapToGrid w:val="0"/>
              <w:spacing w:line="360" w:lineRule="exact"/>
              <w:ind w:firstLine="480" w:firstLineChars="200"/>
              <w:rPr>
                <w:rFonts w:eastAsia="黑体"/>
                <w:sz w:val="28"/>
                <w:szCs w:val="28"/>
              </w:rPr>
            </w:pPr>
            <w:r>
              <w:rPr>
                <w:sz w:val="24"/>
              </w:rPr>
              <w:t>完善创业政策体系，每年发放创业担保贷款20亿元，扶持创业3万人。支持大学生创业园、返乡创业园等申报省级、国家级示范基地，到2025年，力争建成国家级示范基地10个。实施创业培训“马兰花计划”，探索建设一批创业指导工作室，每年培训3万人次。</w:t>
            </w:r>
          </w:p>
        </w:tc>
      </w:tr>
    </w:tbl>
    <w:p>
      <w:pPr>
        <w:overflowPunct w:val="0"/>
        <w:spacing w:line="590" w:lineRule="exact"/>
        <w:ind w:firstLine="640" w:firstLineChars="200"/>
        <w:rPr>
          <w:rFonts w:eastAsia="黑体"/>
          <w:szCs w:val="32"/>
        </w:rPr>
      </w:pPr>
      <w:bookmarkStart w:id="26" w:name="_Toc320284909"/>
      <w:bookmarkStart w:id="27" w:name="_Toc1003339723"/>
      <w:bookmarkStart w:id="28" w:name="_Toc78529349"/>
      <w:bookmarkStart w:id="29" w:name="_Toc829183752"/>
      <w:bookmarkStart w:id="30" w:name="_Toc81142990"/>
      <w:r>
        <w:rPr>
          <w:rFonts w:eastAsia="黑体"/>
          <w:szCs w:val="32"/>
        </w:rPr>
        <w:t>四、构建更加健全的多层次社会保障体系</w:t>
      </w:r>
      <w:bookmarkEnd w:id="26"/>
      <w:bookmarkEnd w:id="27"/>
      <w:bookmarkEnd w:id="28"/>
      <w:bookmarkEnd w:id="29"/>
      <w:bookmarkEnd w:id="30"/>
    </w:p>
    <w:p>
      <w:pPr>
        <w:overflowPunct w:val="0"/>
        <w:spacing w:line="590" w:lineRule="exact"/>
        <w:ind w:firstLine="640" w:firstLineChars="200"/>
        <w:rPr>
          <w:szCs w:val="32"/>
        </w:rPr>
      </w:pPr>
      <w:bookmarkStart w:id="31" w:name="_Toc833093869"/>
      <w:r>
        <w:rPr>
          <w:bCs/>
          <w:szCs w:val="32"/>
        </w:rPr>
        <w:t>坚持权责清晰、保障适度、应保尽保、安全规范原则，健全覆盖全民、统筹城乡、公平统一、可持续的多层次社会保障体系，持续提升人民群众获得感、幸福感、安全感。</w:t>
      </w:r>
    </w:p>
    <w:p>
      <w:pPr>
        <w:overflowPunct w:val="0"/>
        <w:spacing w:line="590" w:lineRule="exact"/>
        <w:ind w:firstLine="640" w:firstLineChars="200"/>
        <w:rPr>
          <w:szCs w:val="32"/>
        </w:rPr>
      </w:pPr>
      <w:bookmarkStart w:id="32" w:name="_Toc78529350"/>
      <w:r>
        <w:rPr>
          <w:rStyle w:val="10"/>
          <w:b w:val="0"/>
          <w:szCs w:val="32"/>
        </w:rPr>
        <w:t>（一）实现社会保障应保尽保</w:t>
      </w:r>
      <w:bookmarkEnd w:id="32"/>
      <w:r>
        <w:rPr>
          <w:rFonts w:eastAsia="楷体_GB2312"/>
          <w:b/>
          <w:szCs w:val="32"/>
        </w:rPr>
        <w:t>。</w:t>
      </w:r>
      <w:r>
        <w:rPr>
          <w:bCs/>
          <w:szCs w:val="32"/>
        </w:rPr>
        <w:t>加强应保未保人员的动态分析和管理，持续推进精准扩面。</w:t>
      </w:r>
      <w:r>
        <w:rPr>
          <w:szCs w:val="32"/>
        </w:rPr>
        <w:t>城镇职工基本养老保险实现法定人群全覆盖，城乡居民养老保险基本实现适龄参保人员应保尽保。工伤保险保障对象由企业职工向职业劳动者广覆盖，扩宽实习生和超龄就业人员的参保范围。</w:t>
      </w:r>
      <w:r>
        <w:rPr>
          <w:bCs/>
          <w:szCs w:val="32"/>
        </w:rPr>
        <w:t>研究适应新业态的参保缴费政策，</w:t>
      </w:r>
      <w:r>
        <w:rPr>
          <w:szCs w:val="32"/>
        </w:rPr>
        <w:t>促进和引导新就业形态从业人员参加社会保险。</w:t>
      </w:r>
    </w:p>
    <w:p>
      <w:pPr>
        <w:overflowPunct w:val="0"/>
        <w:spacing w:line="590" w:lineRule="exact"/>
        <w:ind w:firstLine="640" w:firstLineChars="200"/>
        <w:rPr>
          <w:szCs w:val="32"/>
        </w:rPr>
      </w:pPr>
      <w:bookmarkStart w:id="33" w:name="_Toc78529351"/>
      <w:r>
        <w:rPr>
          <w:rStyle w:val="10"/>
          <w:b w:val="0"/>
          <w:szCs w:val="32"/>
        </w:rPr>
        <w:t>（二）健全社会保险制度</w:t>
      </w:r>
      <w:bookmarkEnd w:id="33"/>
      <w:r>
        <w:rPr>
          <w:rFonts w:eastAsia="楷体_GB2312"/>
          <w:b/>
          <w:szCs w:val="32"/>
        </w:rPr>
        <w:t>。</w:t>
      </w:r>
      <w:r>
        <w:rPr>
          <w:bCs/>
          <w:szCs w:val="32"/>
        </w:rPr>
        <w:t>完善社会统筹与个人账户相结合的城镇职工基本养老保险制度，规范企业职工基本养老保险省级统筹制度，适时调整各项制度参数和缴费费率，健全参保缴费激励约束机制。</w:t>
      </w:r>
      <w:r>
        <w:rPr>
          <w:szCs w:val="32"/>
        </w:rPr>
        <w:t>落实渐进式延迟法定退休年龄政策。</w:t>
      </w:r>
      <w:r>
        <w:rPr>
          <w:bCs/>
          <w:szCs w:val="32"/>
        </w:rPr>
        <w:t>建立健全城乡居保基金省级管理制度，</w:t>
      </w:r>
      <w:r>
        <w:rPr>
          <w:szCs w:val="32"/>
        </w:rPr>
        <w:t>推进城乡居保制度协调可持续发展。进一步完善机关事业单位养老保险制度政策。加快修订《浙江省失业保险条例》，健全相关政策制度，进一步完善失业保险保生活、防失业、促就业功能，推进失业保险基金省级统筹。完善工伤预防、补偿、康复“三位一体”制度体系，创建工伤预防常态化工作机制。</w:t>
      </w:r>
    </w:p>
    <w:p>
      <w:pPr>
        <w:overflowPunct w:val="0"/>
        <w:spacing w:line="590" w:lineRule="exact"/>
        <w:ind w:firstLine="640" w:firstLineChars="200"/>
        <w:rPr>
          <w:szCs w:val="32"/>
        </w:rPr>
      </w:pPr>
      <w:bookmarkStart w:id="34" w:name="_Toc78529352"/>
      <w:r>
        <w:rPr>
          <w:rStyle w:val="10"/>
          <w:b w:val="0"/>
          <w:szCs w:val="32"/>
        </w:rPr>
        <w:t>（三）完善社会保障待遇调整机制</w:t>
      </w:r>
      <w:bookmarkEnd w:id="34"/>
      <w:r>
        <w:rPr>
          <w:rFonts w:eastAsia="楷体_GB2312"/>
          <w:b/>
          <w:szCs w:val="32"/>
        </w:rPr>
        <w:t>。</w:t>
      </w:r>
      <w:r>
        <w:rPr>
          <w:bCs/>
          <w:szCs w:val="32"/>
        </w:rPr>
        <w:t>根据国家部署，结合我省社会经济发展水平科学调整待遇，让参保人员合理分享发展成果。</w:t>
      </w:r>
      <w:r>
        <w:rPr>
          <w:szCs w:val="32"/>
        </w:rPr>
        <w:t>统筹</w:t>
      </w:r>
      <w:r>
        <w:rPr>
          <w:kern w:val="0"/>
          <w:szCs w:val="32"/>
        </w:rPr>
        <w:t>发展企业年金、职业年金、个人养老金、商业养老保险，加快多层次养老保障体系建设。推进落实城乡居保待遇确定和基础养老金正常调整机制，继续提高个人缴费水平，推动参保人提高个人账户积累，合理设置梯度补贴制，提高政府缴费补贴，激励多缴多得。</w:t>
      </w:r>
      <w:r>
        <w:rPr>
          <w:szCs w:val="32"/>
        </w:rPr>
        <w:t>探索城乡居保提档补缴政策，鼓励参保人员增加个人缴费积累，稳步提高养老待遇水平。</w:t>
      </w:r>
      <w:r>
        <w:rPr>
          <w:kern w:val="0"/>
          <w:szCs w:val="32"/>
        </w:rPr>
        <w:t>适时适度调整失业、工伤保险待遇</w:t>
      </w:r>
      <w:r>
        <w:rPr>
          <w:szCs w:val="32"/>
        </w:rPr>
        <w:t>。将失业保险享受对象由失业人员扩大到所有参保职工和企业，将支出范围从保障失业人员基本生活进一步扩大到支持职工技能提升、企业稳定岗位上。</w:t>
      </w:r>
    </w:p>
    <w:p>
      <w:pPr>
        <w:overflowPunct w:val="0"/>
        <w:spacing w:line="590" w:lineRule="exact"/>
        <w:ind w:firstLine="640" w:firstLineChars="200"/>
        <w:rPr>
          <w:szCs w:val="32"/>
        </w:rPr>
      </w:pPr>
      <w:bookmarkStart w:id="35" w:name="_Toc78529353"/>
      <w:r>
        <w:rPr>
          <w:rStyle w:val="10"/>
          <w:b w:val="0"/>
          <w:szCs w:val="32"/>
        </w:rPr>
        <w:t>（四）建立社保基金可持续运行机制</w:t>
      </w:r>
      <w:bookmarkEnd w:id="35"/>
      <w:r>
        <w:rPr>
          <w:rFonts w:eastAsia="楷体_GB2312"/>
          <w:b/>
          <w:szCs w:val="32"/>
        </w:rPr>
        <w:t>。</w:t>
      </w:r>
      <w:r>
        <w:rPr>
          <w:bCs/>
          <w:szCs w:val="32"/>
        </w:rPr>
        <w:t>在持续扩大覆盖面的基础上，依法规范基金征缴，强化各地的主体责任，夯实缴费基数，实现应征尽征。</w:t>
      </w:r>
      <w:r>
        <w:rPr>
          <w:szCs w:val="32"/>
        </w:rPr>
        <w:t>扩大社会保障基金筹资渠道，</w:t>
      </w:r>
      <w:r>
        <w:rPr>
          <w:bCs/>
          <w:szCs w:val="32"/>
        </w:rPr>
        <w:t>健全和完善筹资机制，积极落实国有资本收益、土地出让收入划转社会保障资金的政策规定，明确政府在社会保障筹资中的责任，形成规范稳定的多渠道筹措机制。积极拓展基金投资渠道和增值空间，有序开展基本养老保险基金委托投资运营工作</w:t>
      </w:r>
      <w:r>
        <w:rPr>
          <w:szCs w:val="32"/>
        </w:rPr>
        <w:t>。</w:t>
      </w:r>
      <w:r>
        <w:rPr>
          <w:bCs/>
          <w:szCs w:val="32"/>
        </w:rPr>
        <w:t>配合协调划拨国有资本充实社保基金，推动稳定基金支撑能力。</w:t>
      </w:r>
    </w:p>
    <w:p>
      <w:pPr>
        <w:overflowPunct w:val="0"/>
        <w:spacing w:line="590" w:lineRule="exact"/>
        <w:ind w:firstLine="640" w:firstLineChars="200"/>
        <w:rPr>
          <w:szCs w:val="32"/>
        </w:rPr>
      </w:pPr>
      <w:bookmarkStart w:id="36" w:name="_Toc78529354"/>
      <w:r>
        <w:rPr>
          <w:rStyle w:val="10"/>
          <w:b w:val="0"/>
          <w:szCs w:val="32"/>
        </w:rPr>
        <w:t>（五）加强社会保险基金监管</w:t>
      </w:r>
      <w:bookmarkEnd w:id="36"/>
      <w:r>
        <w:rPr>
          <w:rFonts w:eastAsia="楷体_GB2312"/>
          <w:b/>
          <w:bCs/>
          <w:szCs w:val="32"/>
        </w:rPr>
        <w:t>。</w:t>
      </w:r>
      <w:r>
        <w:rPr>
          <w:bCs/>
          <w:szCs w:val="32"/>
        </w:rPr>
        <w:t>全面加强社保基金风险防控，形成政策、经办、信息、监督“四位一体”的风险防控体系，进一步压实地方政府对社保基金安全的主体责任。加大全省基金监督法制建设力度，加快推进社保基金监督立法。全面开展社保基金第三方审计，强化内控机制建设监督检查。着力健全全省社保基金安全评估机制，加强社保基金安全评估结果运用。强化数字化监管，建立常态化非现场监督机制。加强社会监督与行政监督的有机衔接，鼓励社会力量参与基金监督。</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6557" w:hRule="atLeast"/>
          <w:jc w:val="center"/>
        </w:trPr>
        <w:tc>
          <w:tcPr>
            <w:tcW w:w="8845" w:type="dxa"/>
            <w:vAlign w:val="top"/>
          </w:tcPr>
          <w:p>
            <w:pPr>
              <w:overflowPunct w:val="0"/>
              <w:spacing w:before="240" w:beforeLines="100" w:after="240" w:afterLines="100" w:line="360" w:lineRule="exact"/>
              <w:jc w:val="center"/>
              <w:rPr>
                <w:rFonts w:eastAsia="黑体"/>
                <w:sz w:val="28"/>
                <w:szCs w:val="28"/>
              </w:rPr>
            </w:pPr>
            <w:r>
              <w:rPr>
                <w:rFonts w:eastAsia="黑体"/>
                <w:sz w:val="28"/>
                <w:szCs w:val="28"/>
              </w:rPr>
              <w:t>专栏4　社会保障高质量可持续发展专项行动</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01 实施省级统筹</w:t>
            </w:r>
          </w:p>
          <w:p>
            <w:pPr>
              <w:pStyle w:val="6"/>
              <w:overflowPunct w:val="0"/>
              <w:snapToGrid/>
              <w:spacing w:line="360" w:lineRule="exact"/>
              <w:ind w:firstLine="480" w:firstLineChars="200"/>
              <w:jc w:val="both"/>
              <w:rPr>
                <w:sz w:val="24"/>
                <w:szCs w:val="24"/>
              </w:rPr>
            </w:pPr>
            <w:r>
              <w:rPr>
                <w:sz w:val="24"/>
                <w:szCs w:val="24"/>
              </w:rPr>
              <w:t>实</w:t>
            </w:r>
            <w:r>
              <w:rPr>
                <w:spacing w:val="-4"/>
                <w:sz w:val="24"/>
                <w:szCs w:val="24"/>
              </w:rPr>
              <w:t>施规范企业职工基本养老保险省级统筹制度，稳妥推进城乡居保基金省级管理。</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02 推动全民覆盖</w:t>
            </w:r>
          </w:p>
          <w:p>
            <w:pPr>
              <w:pStyle w:val="6"/>
              <w:overflowPunct w:val="0"/>
              <w:snapToGrid/>
              <w:spacing w:line="360" w:lineRule="exact"/>
              <w:ind w:firstLine="480" w:firstLineChars="200"/>
              <w:jc w:val="both"/>
              <w:rPr>
                <w:sz w:val="24"/>
                <w:szCs w:val="24"/>
              </w:rPr>
            </w:pPr>
            <w:r>
              <w:rPr>
                <w:sz w:val="24"/>
                <w:szCs w:val="24"/>
              </w:rPr>
              <w:t>完善新业态从业人员参保缴费政策，积极探索建立新业态从业人员职业伤害保障机制。</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03 推动提标提质</w:t>
            </w:r>
          </w:p>
          <w:p>
            <w:pPr>
              <w:pStyle w:val="6"/>
              <w:overflowPunct w:val="0"/>
              <w:snapToGrid/>
              <w:spacing w:line="360" w:lineRule="exact"/>
              <w:ind w:firstLine="480" w:firstLineChars="200"/>
              <w:jc w:val="both"/>
              <w:rPr>
                <w:sz w:val="24"/>
                <w:szCs w:val="24"/>
              </w:rPr>
            </w:pPr>
            <w:r>
              <w:rPr>
                <w:sz w:val="24"/>
                <w:szCs w:val="24"/>
              </w:rPr>
              <w:t>落实城乡居民基本养老保险基础养老金正常增长机制，健全城乡居民多缴费、长缴费的激励机制。</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04 推进治理法治化</w:t>
            </w:r>
          </w:p>
          <w:p>
            <w:pPr>
              <w:pStyle w:val="6"/>
              <w:overflowPunct w:val="0"/>
              <w:snapToGrid/>
              <w:spacing w:line="360" w:lineRule="exact"/>
              <w:ind w:firstLine="480" w:firstLineChars="200"/>
              <w:jc w:val="both"/>
              <w:rPr>
                <w:sz w:val="24"/>
                <w:szCs w:val="24"/>
              </w:rPr>
            </w:pPr>
            <w:r>
              <w:rPr>
                <w:sz w:val="24"/>
                <w:szCs w:val="24"/>
              </w:rPr>
              <w:t>完善我省社会保障法规体系，加强对相关法规规章的执法监督，依法健全社会保障基金监管体系，守好人民群众的每一份“养老钱”“保命钱”。</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05 推进服务数字化</w:t>
            </w:r>
          </w:p>
          <w:p>
            <w:pPr>
              <w:pStyle w:val="6"/>
              <w:overflowPunct w:val="0"/>
              <w:snapToGrid/>
              <w:spacing w:line="360" w:lineRule="exact"/>
              <w:ind w:firstLine="480" w:firstLineChars="200"/>
              <w:jc w:val="both"/>
              <w:rPr>
                <w:sz w:val="24"/>
                <w:szCs w:val="24"/>
              </w:rPr>
            </w:pPr>
            <w:r>
              <w:rPr>
                <w:sz w:val="24"/>
                <w:szCs w:val="24"/>
              </w:rPr>
              <w:t>积极融入全省数字化改革，不断提高精细化管理程度和服务水平。</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06 着力防范风险</w:t>
            </w:r>
          </w:p>
          <w:p>
            <w:pPr>
              <w:pStyle w:val="6"/>
              <w:overflowPunct w:val="0"/>
              <w:spacing w:line="360" w:lineRule="exact"/>
              <w:ind w:firstLine="480" w:firstLineChars="200"/>
              <w:jc w:val="both"/>
              <w:rPr>
                <w:rFonts w:eastAsia="黑体"/>
                <w:sz w:val="24"/>
                <w:szCs w:val="24"/>
              </w:rPr>
            </w:pPr>
            <w:r>
              <w:rPr>
                <w:sz w:val="24"/>
                <w:szCs w:val="24"/>
              </w:rPr>
              <w:t>建立数字化监管体系，及时发现问题苗头、早处置、早解决，严格执行国家制度规定，确保全省社会保障政策制度的规范和统一。</w:t>
            </w:r>
          </w:p>
        </w:tc>
      </w:tr>
    </w:tbl>
    <w:p>
      <w:pPr>
        <w:overflowPunct w:val="0"/>
        <w:spacing w:line="590" w:lineRule="exact"/>
        <w:ind w:firstLine="640" w:firstLineChars="200"/>
        <w:rPr>
          <w:rFonts w:eastAsia="黑体"/>
          <w:szCs w:val="32"/>
        </w:rPr>
      </w:pPr>
      <w:bookmarkStart w:id="37" w:name="_Toc78529355"/>
      <w:r>
        <w:rPr>
          <w:rFonts w:eastAsia="黑体"/>
          <w:szCs w:val="32"/>
        </w:rPr>
        <w:t>五、建设更高水平的技术技能人才队伍</w:t>
      </w:r>
      <w:bookmarkEnd w:id="31"/>
      <w:bookmarkEnd w:id="37"/>
    </w:p>
    <w:p>
      <w:pPr>
        <w:overflowPunct w:val="0"/>
        <w:spacing w:line="590" w:lineRule="exact"/>
        <w:ind w:firstLine="640" w:firstLineChars="200"/>
        <w:rPr>
          <w:szCs w:val="32"/>
        </w:rPr>
      </w:pPr>
      <w:bookmarkStart w:id="38" w:name="_Toc218992700"/>
      <w:bookmarkStart w:id="39" w:name="_Toc659443103"/>
      <w:r>
        <w:rPr>
          <w:bCs/>
          <w:szCs w:val="32"/>
        </w:rPr>
        <w:t>坚持党管人才原则，深化人才发展体制机制改革，建设更有竞争力的人才制度体系，构建人才培训体系，加强专业技术人才和技能人才队伍建设，打造全球人才蓄水池，助力我省高水平创新型省份和科技强省、人才强省建设。</w:t>
      </w:r>
    </w:p>
    <w:p>
      <w:pPr>
        <w:overflowPunct w:val="0"/>
        <w:spacing w:line="590" w:lineRule="exact"/>
        <w:ind w:firstLine="640" w:firstLineChars="200"/>
        <w:rPr>
          <w:szCs w:val="32"/>
        </w:rPr>
      </w:pPr>
      <w:bookmarkStart w:id="40" w:name="_Toc78529356"/>
      <w:r>
        <w:rPr>
          <w:rStyle w:val="10"/>
          <w:b w:val="0"/>
          <w:szCs w:val="32"/>
        </w:rPr>
        <w:t>（一）加大高精尖缺人才引进力度</w:t>
      </w:r>
      <w:bookmarkEnd w:id="40"/>
      <w:r>
        <w:rPr>
          <w:rFonts w:eastAsia="楷体_GB2312"/>
          <w:b/>
          <w:szCs w:val="32"/>
        </w:rPr>
        <w:t>。</w:t>
      </w:r>
      <w:r>
        <w:rPr>
          <w:szCs w:val="32"/>
        </w:rPr>
        <w:t>进一步明确引才主攻方向，畅通引才渠道，提升引才效率，招引一批海内外高层次人才。前移引才关口，扩大大学生来浙实习规模。加强与国外著名高校、科研机构、行业协会、中介机构的交流合作，用好海外引才大使、引才工作站，逐步建立全球化、常态化引才网络。整合以赛引才、以会引才渠道，常态化开展引才活动，深入开展“揭榜挂帅”项目对接活动，举办海外人才创业大赛和国际青年人才论坛，更加精准高效对接海内外人才。聚焦三大科创高地建设及传统制造业改造提升，强化产业人才有效供给。创新海外人才集聚机制，鼓励各地建立外国人创业园，在浙举办或永久性落地国际国内重大活动，在“一带一路”沿线国家建立一批引才工作站和人才项目孵化器，团队式引进人才。迭代省人才服务平台，深化人才码、引才云建设，建立统一的人才工程项目管理应用，打造浙江“人才工作大脑”。</w:t>
      </w:r>
    </w:p>
    <w:p>
      <w:pPr>
        <w:overflowPunct w:val="0"/>
        <w:spacing w:line="590" w:lineRule="exact"/>
        <w:ind w:firstLine="640" w:firstLineChars="200"/>
        <w:rPr>
          <w:szCs w:val="32"/>
        </w:rPr>
      </w:pPr>
      <w:bookmarkStart w:id="41" w:name="_Toc78529357"/>
      <w:r>
        <w:rPr>
          <w:rStyle w:val="10"/>
          <w:b w:val="0"/>
          <w:szCs w:val="32"/>
        </w:rPr>
        <w:t>（二）加强专业技术人才队伍建设</w:t>
      </w:r>
      <w:bookmarkEnd w:id="38"/>
      <w:bookmarkEnd w:id="39"/>
      <w:bookmarkEnd w:id="41"/>
      <w:r>
        <w:rPr>
          <w:rFonts w:eastAsia="楷体_GB2312"/>
          <w:b/>
          <w:szCs w:val="32"/>
        </w:rPr>
        <w:t>。</w:t>
      </w:r>
      <w:r>
        <w:rPr>
          <w:szCs w:val="32"/>
        </w:rPr>
        <w:t>深化职称制度改革，加快推进新兴产业领域职称社会化评价改革，健全以创新能力、质量、实效、贡献为导向的科技人才职称评价体系，推广“学历证书+职称证书”双证制试点经验。加强对改革放权后的自主评聘单位、社会化评价机构的事中事后监管，进一步规范事业单位自主评聘改革和工程技术领域社会化评价改革。落实国家职业资格目录制度，强化职业资格实施工作监管。加强高层次人才队伍建设，继续实施“浙江省有突出贡献中青年专家”选拔，进一步完善高层次人才选拔、作用发挥、表彰激励和联系服务机制，深入实施省“万人计划”青年拔尖人才选拔培养。加快博士后事业发展，提高在站博士后经费标准和出站留浙补贴，加大对企业在站博士后科研项目支持力度，推动海内外知名高校院所与我省企业共建博士后工作站。深入推进专家服务活动，大力实施专业技术人才知识更新工程。</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17" w:hRule="atLeast"/>
          <w:jc w:val="center"/>
        </w:trPr>
        <w:tc>
          <w:tcPr>
            <w:tcW w:w="8845" w:type="dxa"/>
            <w:vAlign w:val="center"/>
          </w:tcPr>
          <w:p>
            <w:pPr>
              <w:overflowPunct w:val="0"/>
              <w:spacing w:before="240" w:beforeLines="100" w:after="240" w:afterLines="100" w:line="360" w:lineRule="exact"/>
              <w:jc w:val="center"/>
              <w:rPr>
                <w:rFonts w:eastAsia="黑体"/>
                <w:sz w:val="28"/>
                <w:szCs w:val="28"/>
              </w:rPr>
            </w:pPr>
            <w:r>
              <w:rPr>
                <w:rFonts w:eastAsia="黑体"/>
                <w:sz w:val="28"/>
                <w:szCs w:val="28"/>
              </w:rPr>
              <w:t xml:space="preserve">专栏5 </w:t>
            </w:r>
            <w:r>
              <w:rPr>
                <w:rFonts w:hint="eastAsia" w:eastAsia="黑体"/>
                <w:sz w:val="28"/>
                <w:szCs w:val="28"/>
              </w:rPr>
              <w:t xml:space="preserve"> </w:t>
            </w:r>
            <w:r>
              <w:rPr>
                <w:rFonts w:eastAsia="黑体"/>
                <w:sz w:val="28"/>
                <w:szCs w:val="28"/>
              </w:rPr>
              <w:t>专业技术人才培育工程</w:t>
            </w:r>
          </w:p>
          <w:p>
            <w:pPr>
              <w:pStyle w:val="6"/>
              <w:overflowPunct w:val="0"/>
              <w:snapToGrid/>
              <w:spacing w:line="340" w:lineRule="exact"/>
              <w:ind w:firstLine="480" w:firstLineChars="200"/>
              <w:jc w:val="both"/>
              <w:rPr>
                <w:rFonts w:eastAsia="楷体_GB2312"/>
                <w:bCs/>
                <w:sz w:val="24"/>
                <w:szCs w:val="24"/>
              </w:rPr>
            </w:pPr>
            <w:r>
              <w:rPr>
                <w:rFonts w:eastAsia="楷体_GB2312"/>
                <w:bCs/>
                <w:sz w:val="24"/>
                <w:szCs w:val="24"/>
              </w:rPr>
              <w:t>01 省“万人计划”青年拔尖人才资助项目</w:t>
            </w:r>
          </w:p>
          <w:p>
            <w:pPr>
              <w:overflowPunct w:val="0"/>
              <w:spacing w:line="340" w:lineRule="exact"/>
              <w:ind w:firstLine="480" w:firstLineChars="200"/>
              <w:rPr>
                <w:sz w:val="24"/>
              </w:rPr>
            </w:pPr>
            <w:r>
              <w:rPr>
                <w:sz w:val="24"/>
              </w:rPr>
              <w:t>每年资助100名左右青年拔尖人才，围绕数字经济“一号工程”，聚焦“互联网+”、生命健康、新材料等三大科创高地，加快培养一批能解决“卡脖子”核心技术的青年创新人才。</w:t>
            </w:r>
          </w:p>
          <w:p>
            <w:pPr>
              <w:pStyle w:val="6"/>
              <w:overflowPunct w:val="0"/>
              <w:snapToGrid/>
              <w:spacing w:line="340" w:lineRule="exact"/>
              <w:ind w:firstLine="480" w:firstLineChars="200"/>
              <w:jc w:val="both"/>
              <w:rPr>
                <w:rFonts w:eastAsia="楷体_GB2312"/>
                <w:bCs/>
                <w:sz w:val="24"/>
                <w:szCs w:val="24"/>
              </w:rPr>
            </w:pPr>
            <w:r>
              <w:rPr>
                <w:rFonts w:eastAsia="楷体_GB2312"/>
                <w:bCs/>
                <w:sz w:val="24"/>
                <w:szCs w:val="24"/>
              </w:rPr>
              <w:t>02 博士后科研项目择优资助计划</w:t>
            </w:r>
          </w:p>
          <w:p>
            <w:pPr>
              <w:overflowPunct w:val="0"/>
              <w:spacing w:line="340" w:lineRule="exact"/>
              <w:ind w:firstLine="480" w:firstLineChars="200"/>
              <w:rPr>
                <w:sz w:val="24"/>
              </w:rPr>
            </w:pPr>
            <w:r>
              <w:rPr>
                <w:sz w:val="24"/>
              </w:rPr>
              <w:t>以企业博士后工作站为重点，每年择优资助170名左右博士后在站人员，其中特别资助10名，一等资助30名，二等资助130名，对入选者给予专项资助，加速培养造就一批优秀青年科技创新人才。“十四五”期间招收博士后研究人员5500人，累计招收的博士后总量达到1.75万人。</w:t>
            </w:r>
          </w:p>
          <w:p>
            <w:pPr>
              <w:pStyle w:val="6"/>
              <w:overflowPunct w:val="0"/>
              <w:snapToGrid/>
              <w:spacing w:line="340" w:lineRule="exact"/>
              <w:ind w:firstLine="480" w:firstLineChars="200"/>
              <w:jc w:val="both"/>
              <w:rPr>
                <w:rFonts w:eastAsia="楷体_GB2312"/>
                <w:bCs/>
                <w:sz w:val="24"/>
                <w:szCs w:val="24"/>
              </w:rPr>
            </w:pPr>
            <w:r>
              <w:rPr>
                <w:rFonts w:eastAsia="楷体_GB2312"/>
                <w:bCs/>
                <w:sz w:val="24"/>
                <w:szCs w:val="24"/>
              </w:rPr>
              <w:t>03 专业技术人才知识更新工程</w:t>
            </w:r>
          </w:p>
          <w:p>
            <w:pPr>
              <w:overflowPunct w:val="0"/>
              <w:spacing w:line="340" w:lineRule="exact"/>
              <w:ind w:firstLine="480" w:firstLineChars="200"/>
              <w:rPr>
                <w:rFonts w:eastAsia="黑体"/>
                <w:sz w:val="24"/>
              </w:rPr>
            </w:pPr>
            <w:r>
              <w:rPr>
                <w:sz w:val="24"/>
              </w:rPr>
              <w:t>动态管理建设一批省级专业技术人员继续教育基地，每年组织举办50期左右省级高级研修项目，开展大规模知识更新继续教育，每年开展220万人次岗位培训和2万名高层次紧缺急需人才培养。</w:t>
            </w:r>
          </w:p>
        </w:tc>
      </w:tr>
    </w:tbl>
    <w:p>
      <w:pPr>
        <w:overflowPunct w:val="0"/>
        <w:spacing w:line="590" w:lineRule="exact"/>
        <w:ind w:firstLine="640" w:firstLineChars="200"/>
        <w:rPr>
          <w:szCs w:val="32"/>
        </w:rPr>
      </w:pPr>
      <w:bookmarkStart w:id="42" w:name="_Toc78529358"/>
      <w:bookmarkStart w:id="43" w:name="_Toc1469358060"/>
      <w:bookmarkStart w:id="44" w:name="_Toc1202455484"/>
      <w:r>
        <w:rPr>
          <w:rStyle w:val="10"/>
          <w:b w:val="0"/>
          <w:szCs w:val="32"/>
        </w:rPr>
        <w:t>（三）加强技能人才队伍建设</w:t>
      </w:r>
      <w:bookmarkEnd w:id="42"/>
      <w:bookmarkEnd w:id="43"/>
      <w:bookmarkEnd w:id="44"/>
      <w:r>
        <w:rPr>
          <w:rFonts w:eastAsia="楷体_GB2312"/>
          <w:b/>
          <w:szCs w:val="32"/>
        </w:rPr>
        <w:t>。</w:t>
      </w:r>
      <w:r>
        <w:rPr>
          <w:szCs w:val="32"/>
        </w:rPr>
        <w:t>开展“技能浙江”行动，实施新时代浙江工匠培育工程，加快遴选培育一支覆盖广泛、梯次衔接、上下联动的“十百千万”新时代工匠骨干队伍。推进技能创新，发挥浙江大工匠、浙江杰出工匠的示范带头作用，依托单位、行业建设30个左右技能创新工作团队。广泛开展技能竞赛活动，以省政府名义每两年举办一届浙江技能大赛；鼓励开展劳动竞赛、巾帼建功立业、青年岗位能手评选等活动，带动广大企业职工学技能、提升技能。建立终身职业技能培训体系，实施“金蓝领”职业技能提升行动，积极推进职业技能培训供给侧改革，进一步加强技能大师工作室、高技能人才公共实训基地建设。探索推进高技能人才与专业技术人才职业发展通道贯通。完善技能人才评价制度，建立技能人才评价监管制度，加快构建多层次职业标准，积极推动制定服务“一带一路”的技能人才培养标准和评价规范。完善技能人才激励机制，进一步落实党委联系高技能领军人才制度；科学评价技能水平和业绩贡献，合理确定工资级差，完善技术工人工资分配机制；鼓励企业建立高技能人才岗位津贴制度，当地政府可按规定给予一定岗位补贴。</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Layout w:type="fixed"/>
        </w:tblPrEx>
        <w:trPr>
          <w:jc w:val="center"/>
        </w:trPr>
        <w:tc>
          <w:tcPr>
            <w:tcW w:w="8845" w:type="dxa"/>
            <w:vAlign w:val="center"/>
          </w:tcPr>
          <w:p>
            <w:pPr>
              <w:overflowPunct w:val="0"/>
              <w:spacing w:before="240" w:beforeLines="100" w:after="240" w:afterLines="100" w:line="360" w:lineRule="exact"/>
              <w:jc w:val="center"/>
              <w:rPr>
                <w:rFonts w:eastAsia="黑体"/>
                <w:sz w:val="24"/>
              </w:rPr>
            </w:pPr>
            <w:r>
              <w:rPr>
                <w:rFonts w:eastAsia="黑体"/>
                <w:sz w:val="28"/>
                <w:szCs w:val="28"/>
              </w:rPr>
              <w:t>专栏6</w:t>
            </w:r>
            <w:r>
              <w:rPr>
                <w:rFonts w:hint="eastAsia" w:eastAsia="黑体"/>
                <w:sz w:val="28"/>
                <w:szCs w:val="28"/>
              </w:rPr>
              <w:t xml:space="preserve"> </w:t>
            </w:r>
            <w:r>
              <w:rPr>
                <w:rFonts w:eastAsia="黑体"/>
                <w:sz w:val="28"/>
                <w:szCs w:val="28"/>
              </w:rPr>
              <w:t xml:space="preserve"> 技能人才培育工程</w:t>
            </w:r>
          </w:p>
          <w:p>
            <w:pPr>
              <w:overflowPunct w:val="0"/>
              <w:spacing w:line="360" w:lineRule="exact"/>
              <w:ind w:firstLine="480" w:firstLineChars="200"/>
              <w:rPr>
                <w:sz w:val="24"/>
              </w:rPr>
            </w:pPr>
            <w:r>
              <w:rPr>
                <w:sz w:val="24"/>
              </w:rPr>
              <w:t>构建“产教训”融合、“政企社”协同、“育选用”贯通的高技能人才培养体系，每年开展技能人才培训100万人次以上，每年新增高技能人才20万人以上。</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01 新时代工匠遴选培育计划</w:t>
            </w:r>
          </w:p>
          <w:p>
            <w:pPr>
              <w:overflowPunct w:val="0"/>
              <w:spacing w:line="360" w:lineRule="exact"/>
              <w:ind w:firstLine="480" w:firstLineChars="200"/>
              <w:rPr>
                <w:sz w:val="24"/>
              </w:rPr>
            </w:pPr>
            <w:r>
              <w:rPr>
                <w:sz w:val="24"/>
              </w:rPr>
              <w:t>重点培育30名左右浙江大工匠、300名左右浙江杰出工匠、3000名左右浙江工匠、10000名左右浙江青年工匠。</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02 国家高技能人才振兴计划</w:t>
            </w:r>
          </w:p>
          <w:p>
            <w:pPr>
              <w:overflowPunct w:val="0"/>
              <w:spacing w:line="360" w:lineRule="exact"/>
              <w:ind w:firstLine="480" w:firstLineChars="200"/>
              <w:rPr>
                <w:sz w:val="24"/>
              </w:rPr>
            </w:pPr>
            <w:r>
              <w:rPr>
                <w:sz w:val="24"/>
              </w:rPr>
              <w:t>建设30个左右技能创新工作团队，继续建设一批高技能人才公共实训基地和技能大师工作室。</w:t>
            </w:r>
          </w:p>
          <w:p>
            <w:pPr>
              <w:pStyle w:val="6"/>
              <w:overflowPunct w:val="0"/>
              <w:snapToGrid/>
              <w:spacing w:line="360" w:lineRule="exact"/>
              <w:ind w:firstLine="480" w:firstLineChars="200"/>
              <w:jc w:val="both"/>
              <w:rPr>
                <w:b/>
                <w:bCs/>
                <w:sz w:val="24"/>
              </w:rPr>
            </w:pPr>
            <w:r>
              <w:rPr>
                <w:rFonts w:eastAsia="楷体_GB2312"/>
                <w:bCs/>
                <w:sz w:val="24"/>
                <w:szCs w:val="24"/>
              </w:rPr>
              <w:t>03 竞赛行动计划</w:t>
            </w:r>
          </w:p>
          <w:p>
            <w:pPr>
              <w:overflowPunct w:val="0"/>
              <w:spacing w:line="360" w:lineRule="exact"/>
              <w:ind w:firstLine="480" w:firstLineChars="200"/>
              <w:rPr>
                <w:rFonts w:eastAsia="黑体"/>
                <w:sz w:val="24"/>
              </w:rPr>
            </w:pPr>
            <w:r>
              <w:rPr>
                <w:sz w:val="24"/>
              </w:rPr>
              <w:t>以</w:t>
            </w:r>
            <w:r>
              <w:rPr>
                <w:spacing w:val="-4"/>
                <w:sz w:val="24"/>
              </w:rPr>
              <w:t>世界技能大赛和全国技能大赛为龙头，省政府每两年举办一届浙江技能大赛，广泛开展各级职业技能大赛和企业岗位练兵技能比武，产生各级技术能手１万名以上。</w:t>
            </w:r>
          </w:p>
        </w:tc>
      </w:tr>
    </w:tbl>
    <w:p>
      <w:pPr>
        <w:overflowPunct w:val="0"/>
        <w:spacing w:line="590" w:lineRule="exact"/>
        <w:ind w:firstLine="640" w:firstLineChars="200"/>
        <w:rPr>
          <w:szCs w:val="32"/>
        </w:rPr>
      </w:pPr>
      <w:bookmarkStart w:id="45" w:name="_Toc78529359"/>
      <w:r>
        <w:rPr>
          <w:rStyle w:val="10"/>
          <w:b w:val="0"/>
          <w:szCs w:val="32"/>
        </w:rPr>
        <w:t>（四）推动技工院校改革发展</w:t>
      </w:r>
      <w:bookmarkEnd w:id="45"/>
      <w:r>
        <w:rPr>
          <w:rFonts w:eastAsia="楷体_GB2312"/>
          <w:b/>
          <w:szCs w:val="32"/>
        </w:rPr>
        <w:t>。</w:t>
      </w:r>
      <w:r>
        <w:rPr>
          <w:szCs w:val="32"/>
        </w:rPr>
        <w:t>推进技工院校初中段招生与职业高中、中等专业学校统一招生政策、统一招生计划、统一招生代码、统一招生平台。整合技工院校高技能人才培养特色和职业院校办学优势，通过技工院校和职业院校双挂牌，力争实现技工院校县（市）全覆盖。鼓励</w:t>
      </w:r>
      <w:r>
        <w:rPr>
          <w:bCs/>
          <w:szCs w:val="32"/>
        </w:rPr>
        <w:t>技师学院在</w:t>
      </w:r>
      <w:r>
        <w:rPr>
          <w:szCs w:val="32"/>
        </w:rPr>
        <w:t>规上企业</w:t>
      </w:r>
      <w:r>
        <w:rPr>
          <w:bCs/>
          <w:szCs w:val="32"/>
        </w:rPr>
        <w:t>举办技师学院分院。</w:t>
      </w:r>
      <w:r>
        <w:rPr>
          <w:szCs w:val="32"/>
        </w:rPr>
        <w:t>支持技工院校通过与中西部经济欠发达地区联合招生、合作办学等多种形式，扩大我省技工院校在中西部地区的招生生源。推动我省企业在院校开设订单式培养、定岗式培训，落实免学费和助学政策，放宽落户政策，引导学生在我省企业就业。合理确定公办技工院校教师编制</w:t>
      </w:r>
      <w:r>
        <w:rPr>
          <w:bCs/>
          <w:szCs w:val="32"/>
        </w:rPr>
        <w:t>配备标准</w:t>
      </w:r>
      <w:r>
        <w:rPr>
          <w:szCs w:val="32"/>
        </w:rPr>
        <w:t>，在技师学院实行报备员额制管理。适当提高职业院校中高级专业技术岗位结构比例，</w:t>
      </w:r>
      <w:r>
        <w:rPr>
          <w:bCs/>
          <w:szCs w:val="32"/>
        </w:rPr>
        <w:t>拓展技工院校教师职业发展空间。</w:t>
      </w:r>
      <w:r>
        <w:rPr>
          <w:szCs w:val="32"/>
        </w:rPr>
        <w:t>进一步提高“双师型”教师比例，加强实习指导教师配置。建设一批师资培训基地，落实5年一周期的教师全员轮训制度。</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Layout w:type="fixed"/>
        </w:tblPrEx>
        <w:trPr>
          <w:jc w:val="center"/>
        </w:trPr>
        <w:tc>
          <w:tcPr>
            <w:tcW w:w="8845" w:type="dxa"/>
            <w:vAlign w:val="center"/>
          </w:tcPr>
          <w:p>
            <w:pPr>
              <w:overflowPunct w:val="0"/>
              <w:spacing w:before="240" w:beforeLines="100" w:after="240" w:afterLines="100" w:line="360" w:lineRule="exact"/>
              <w:jc w:val="center"/>
              <w:rPr>
                <w:rFonts w:eastAsia="黑体"/>
                <w:sz w:val="28"/>
                <w:szCs w:val="28"/>
              </w:rPr>
            </w:pPr>
            <w:r>
              <w:rPr>
                <w:rFonts w:eastAsia="黑体"/>
                <w:sz w:val="28"/>
                <w:szCs w:val="28"/>
              </w:rPr>
              <w:t>专栏7</w:t>
            </w:r>
            <w:r>
              <w:rPr>
                <w:rFonts w:hint="eastAsia" w:eastAsia="黑体"/>
                <w:sz w:val="28"/>
                <w:szCs w:val="28"/>
              </w:rPr>
              <w:t xml:space="preserve"> </w:t>
            </w:r>
            <w:r>
              <w:rPr>
                <w:rFonts w:eastAsia="黑体"/>
                <w:sz w:val="28"/>
                <w:szCs w:val="28"/>
              </w:rPr>
              <w:t xml:space="preserve"> 技工院校高质量发展组合拳</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01 技师学院建设项目</w:t>
            </w:r>
          </w:p>
          <w:p>
            <w:pPr>
              <w:overflowPunct w:val="0"/>
              <w:adjustRightInd w:val="0"/>
              <w:snapToGrid w:val="0"/>
              <w:spacing w:line="360" w:lineRule="exact"/>
              <w:ind w:firstLine="480" w:firstLineChars="200"/>
              <w:rPr>
                <w:sz w:val="24"/>
              </w:rPr>
            </w:pPr>
            <w:r>
              <w:rPr>
                <w:sz w:val="24"/>
              </w:rPr>
              <w:t>对标世界制造业强国，重点建设与浙江建设全球先进制造业基地相匹配的10所全国一流技师学院，15所万人技师学院。建设浙江智能制造技师学院，打造智能制造技能人才培养高端平台、技工教育改革先行区和技工教育示范基地。</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02 重点技工学校建设项目</w:t>
            </w:r>
          </w:p>
          <w:p>
            <w:pPr>
              <w:overflowPunct w:val="0"/>
              <w:adjustRightInd w:val="0"/>
              <w:snapToGrid w:val="0"/>
              <w:spacing w:line="360" w:lineRule="exact"/>
              <w:ind w:firstLine="480" w:firstLineChars="200"/>
              <w:rPr>
                <w:sz w:val="24"/>
              </w:rPr>
            </w:pPr>
            <w:r>
              <w:rPr>
                <w:sz w:val="24"/>
              </w:rPr>
              <w:t>选择一批办学特色鲜明、服务能力强、与地方产业发展高度契合的技工院校进行重点建设，增强技工院校服务经济社会发展能力。</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03 技工院校新建项目</w:t>
            </w:r>
          </w:p>
          <w:p>
            <w:pPr>
              <w:overflowPunct w:val="0"/>
              <w:adjustRightInd w:val="0"/>
              <w:snapToGrid w:val="0"/>
              <w:spacing w:line="360" w:lineRule="exact"/>
              <w:ind w:firstLine="480" w:firstLineChars="200"/>
              <w:rPr>
                <w:sz w:val="24"/>
              </w:rPr>
            </w:pPr>
            <w:r>
              <w:rPr>
                <w:sz w:val="24"/>
              </w:rPr>
              <w:t>在全省新建技工院校40所，力争实现全省县（市）全覆盖，提升我省技能人才供给能力。</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04 高水平专业群建设项目</w:t>
            </w:r>
          </w:p>
          <w:p>
            <w:pPr>
              <w:overflowPunct w:val="0"/>
              <w:adjustRightInd w:val="0"/>
              <w:snapToGrid w:val="0"/>
              <w:spacing w:line="360" w:lineRule="exact"/>
              <w:ind w:firstLine="480" w:firstLineChars="200"/>
              <w:rPr>
                <w:sz w:val="24"/>
              </w:rPr>
            </w:pPr>
            <w:r>
              <w:rPr>
                <w:sz w:val="24"/>
              </w:rPr>
              <w:t>紧密结合我省经济发展和产业结构调整要求，围绕装备制造、交通运输、数字经济、文化旅游等产业，建设50个高水平专业群，打造特色鲜明、综合实力强的技工院校专业品牌。</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05 师资培训基地建设项目</w:t>
            </w:r>
          </w:p>
          <w:p>
            <w:pPr>
              <w:overflowPunct w:val="0"/>
              <w:adjustRightInd w:val="0"/>
              <w:snapToGrid w:val="0"/>
              <w:spacing w:line="360" w:lineRule="exact"/>
              <w:ind w:firstLine="480" w:firstLineChars="200"/>
              <w:rPr>
                <w:rFonts w:eastAsia="黑体"/>
                <w:sz w:val="24"/>
              </w:rPr>
            </w:pPr>
            <w:r>
              <w:rPr>
                <w:sz w:val="24"/>
              </w:rPr>
              <w:t>在全省建设5个功能齐全、管理规范、教学质量高，能在全省起示范带头作用的技工院校师资培训基地，担负全省技工院校省级师资培训任务。</w:t>
            </w:r>
          </w:p>
        </w:tc>
      </w:tr>
    </w:tbl>
    <w:p>
      <w:pPr>
        <w:overflowPunct w:val="0"/>
        <w:spacing w:line="590" w:lineRule="exact"/>
        <w:ind w:firstLine="640" w:firstLineChars="200"/>
        <w:rPr>
          <w:szCs w:val="32"/>
        </w:rPr>
      </w:pPr>
      <w:bookmarkStart w:id="46" w:name="_Toc218541224"/>
      <w:bookmarkStart w:id="47" w:name="_Toc189400016"/>
      <w:bookmarkStart w:id="48" w:name="_Toc78529360"/>
      <w:bookmarkStart w:id="49" w:name="_Toc320236369"/>
      <w:bookmarkStart w:id="50" w:name="_Toc1255417581"/>
      <w:r>
        <w:rPr>
          <w:rStyle w:val="10"/>
          <w:b w:val="0"/>
          <w:szCs w:val="32"/>
        </w:rPr>
        <w:t>（五）推进事业单位人事制度改革</w:t>
      </w:r>
      <w:bookmarkEnd w:id="46"/>
      <w:bookmarkEnd w:id="47"/>
      <w:bookmarkEnd w:id="48"/>
      <w:bookmarkEnd w:id="49"/>
      <w:bookmarkEnd w:id="50"/>
      <w:r>
        <w:rPr>
          <w:rFonts w:eastAsia="楷体_GB2312"/>
          <w:b/>
          <w:szCs w:val="32"/>
        </w:rPr>
        <w:t>。</w:t>
      </w:r>
      <w:bookmarkStart w:id="51" w:name="_Toc1834728312"/>
      <w:bookmarkStart w:id="52" w:name="_Toc1579827613"/>
      <w:bookmarkStart w:id="53" w:name="_Toc1906237044"/>
      <w:bookmarkStart w:id="54" w:name="_Toc1849328815"/>
      <w:r>
        <w:rPr>
          <w:szCs w:val="32"/>
        </w:rPr>
        <w:t>坚持分类管理，提高岗位设置的科学化水平。根据国家统一部署，逐步推行事业单位管理岗位职员等级晋升制度。完善聘用合同制度，以重点行业、重点岗位的岗位说明书为撬动点，提升岗位聘用管理的规范化水平，建立健全竞争择优、能上能下用人机制。不断完善体现不同行业、专业和岗位特点的事业单位公开招聘办法。积极支持和鼓励高校、科研院所等事业单位科研人员创新创业。营造单位与个人双向利好的干事创业氛围。拓展高校、科研院所和企业科研人员双向流动渠道。</w:t>
      </w:r>
      <w:bookmarkEnd w:id="51"/>
      <w:bookmarkEnd w:id="52"/>
      <w:bookmarkEnd w:id="53"/>
      <w:bookmarkEnd w:id="54"/>
      <w:bookmarkStart w:id="55" w:name="_Toc965148153"/>
      <w:bookmarkStart w:id="56" w:name="_Toc2079328722"/>
      <w:bookmarkStart w:id="57" w:name="_Toc1865515379"/>
      <w:bookmarkStart w:id="58" w:name="_Toc1831258039"/>
      <w:r>
        <w:rPr>
          <w:szCs w:val="32"/>
        </w:rPr>
        <w:t>加快推进部、省、市到考点院校一体化人事考试指挥平台建设，实现组织管理一条线、指挥监控一盘棋、数据应用一张网。</w:t>
      </w:r>
    </w:p>
    <w:bookmarkEnd w:id="55"/>
    <w:p>
      <w:pPr>
        <w:overflowPunct w:val="0"/>
        <w:spacing w:after="120" w:afterLines="50" w:line="590" w:lineRule="exact"/>
        <w:ind w:firstLine="640" w:firstLineChars="200"/>
        <w:rPr>
          <w:szCs w:val="32"/>
        </w:rPr>
      </w:pPr>
      <w:bookmarkStart w:id="59" w:name="_Toc78529362"/>
      <w:r>
        <w:rPr>
          <w:rStyle w:val="10"/>
          <w:b w:val="0"/>
          <w:szCs w:val="32"/>
        </w:rPr>
        <w:t>（六）推进人力资源服务业高质量发展</w:t>
      </w:r>
      <w:bookmarkEnd w:id="59"/>
      <w:r>
        <w:rPr>
          <w:rFonts w:eastAsia="楷体_GB2312"/>
          <w:b/>
          <w:szCs w:val="32"/>
        </w:rPr>
        <w:t>。</w:t>
      </w:r>
      <w:r>
        <w:rPr>
          <w:szCs w:val="32"/>
        </w:rPr>
        <w:t>围绕“双循环”新发展格局的构建，推动人力资源服务与实体经济协同发展。坚持育优扶优引优，建立省、市重点培育人力资源服务企业目录，完善培育引进政策。持续深化人力资源协同指数研究。建设一批高质量人力资源服务产业园。加快人力资源服务产品数字化发展，推进服务领域创新。鼓励人力资源服务机构围绕新业态、新模式开发新产品，参与企业间、地区间劳动力余缺调剂政策引导。支持人力资源服务业深度参与健康养老、社区服务等生活性服务业。规范人力资源市场秩序，推进人力资源市场领域信用体系建设。积极吸引全球优质人力资源服务企业，增强国际交流与合作，鼓励有条件的人力资源服务企业在境外设立分支机构，构建全球服务网络。到2025年，全省人力资源服务机构达7000家，提供中高端人力资源服务的机构占比达到30%，营业收入达4500亿元，从业人员12万人，每年帮助实现就业和流动1100万人次。</w:t>
      </w:r>
    </w:p>
    <w:bookmarkEnd w:id="56"/>
    <w:bookmarkEnd w:id="57"/>
    <w:bookmarkEnd w:id="58"/>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17" w:hRule="atLeast"/>
          <w:jc w:val="center"/>
        </w:trPr>
        <w:tc>
          <w:tcPr>
            <w:tcW w:w="8845" w:type="dxa"/>
            <w:vAlign w:val="center"/>
          </w:tcPr>
          <w:p>
            <w:pPr>
              <w:overflowPunct w:val="0"/>
              <w:spacing w:before="240" w:beforeLines="100" w:after="240" w:afterLines="100" w:line="360" w:lineRule="exact"/>
              <w:jc w:val="center"/>
              <w:rPr>
                <w:rFonts w:eastAsia="黑体"/>
                <w:sz w:val="28"/>
                <w:szCs w:val="28"/>
              </w:rPr>
            </w:pPr>
            <w:r>
              <w:rPr>
                <w:rFonts w:eastAsia="黑体"/>
                <w:sz w:val="28"/>
                <w:szCs w:val="28"/>
              </w:rPr>
              <w:t xml:space="preserve">专栏8 </w:t>
            </w:r>
            <w:r>
              <w:rPr>
                <w:rFonts w:hint="eastAsia" w:eastAsia="黑体"/>
                <w:sz w:val="28"/>
                <w:szCs w:val="28"/>
              </w:rPr>
              <w:t xml:space="preserve"> </w:t>
            </w:r>
            <w:r>
              <w:rPr>
                <w:rFonts w:eastAsia="黑体"/>
                <w:sz w:val="28"/>
                <w:szCs w:val="28"/>
              </w:rPr>
              <w:t>人力资源服务业高质量发展组合拳</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01 重点企业培育引进计划</w:t>
            </w:r>
          </w:p>
          <w:p>
            <w:pPr>
              <w:overflowPunct w:val="0"/>
              <w:spacing w:line="360" w:lineRule="exact"/>
              <w:ind w:firstLine="480" w:firstLineChars="200"/>
              <w:rPr>
                <w:sz w:val="24"/>
              </w:rPr>
            </w:pPr>
            <w:r>
              <w:rPr>
                <w:sz w:val="24"/>
              </w:rPr>
              <w:t>建设省级100家、市级500家重点培育人力资源服务企业动态调整库。大力实施“三优三百计划”，遴选100家专业化服务水平突出的人力资源企业，重点推介人力资源服务业综合实力和猎头100强“扶优”榜单，编制全球和全国人力资源服务业100强“引优”企业目录和优势业务推介。</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02 行业人才培养计划</w:t>
            </w:r>
          </w:p>
          <w:p>
            <w:pPr>
              <w:overflowPunct w:val="0"/>
              <w:spacing w:line="360" w:lineRule="exact"/>
              <w:ind w:firstLine="480" w:firstLineChars="200"/>
              <w:rPr>
                <w:sz w:val="24"/>
              </w:rPr>
            </w:pPr>
            <w:r>
              <w:rPr>
                <w:sz w:val="24"/>
              </w:rPr>
              <w:t>建立完善112行业人才培训工作机制，每年培训100名行业领军人才、1000名行业骨干人才、20000名行业基础人才。着力提高从业人员专业化、职业化水平，建设一支素质优良、结构合理的人力资源服务业人才队伍。</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03 产业园区建设计划</w:t>
            </w:r>
          </w:p>
          <w:p>
            <w:pPr>
              <w:overflowPunct w:val="0"/>
              <w:spacing w:line="360" w:lineRule="exact"/>
              <w:ind w:firstLine="480" w:firstLineChars="200"/>
              <w:rPr>
                <w:rFonts w:eastAsia="黑体"/>
                <w:sz w:val="24"/>
              </w:rPr>
            </w:pPr>
            <w:r>
              <w:rPr>
                <w:sz w:val="24"/>
              </w:rPr>
              <w:t>按照统筹布局、科学定位、坚持标准、稳步推进的思路，人力资源产业园基本覆盖各设区市，新建5家有特色、有活力、有效益的专业性省级产业园。进一步完善人力资源服务产业园与小微企业园对接合作机制。</w:t>
            </w:r>
          </w:p>
        </w:tc>
      </w:tr>
    </w:tbl>
    <w:p>
      <w:pPr>
        <w:overflowPunct w:val="0"/>
        <w:spacing w:line="600" w:lineRule="exact"/>
        <w:ind w:firstLine="640" w:firstLineChars="200"/>
        <w:rPr>
          <w:rFonts w:eastAsia="黑体"/>
          <w:szCs w:val="32"/>
        </w:rPr>
      </w:pPr>
      <w:bookmarkStart w:id="60" w:name="_Toc1544932821"/>
      <w:bookmarkStart w:id="61" w:name="_Toc78529363"/>
      <w:bookmarkStart w:id="62" w:name="_Toc1008703434"/>
      <w:bookmarkStart w:id="63" w:name="_Toc1478414366"/>
      <w:bookmarkStart w:id="64" w:name="_Toc1844837599"/>
      <w:r>
        <w:rPr>
          <w:rFonts w:eastAsia="黑体"/>
          <w:szCs w:val="32"/>
        </w:rPr>
        <w:t>六、构建更加和谐的劳动关系</w:t>
      </w:r>
      <w:bookmarkEnd w:id="60"/>
      <w:bookmarkEnd w:id="61"/>
      <w:bookmarkEnd w:id="62"/>
      <w:bookmarkEnd w:id="63"/>
      <w:bookmarkEnd w:id="64"/>
      <w:bookmarkStart w:id="65" w:name="_Toc1089149352"/>
      <w:bookmarkStart w:id="66" w:name="_Toc1102634030"/>
      <w:bookmarkStart w:id="67" w:name="_Toc1858553554"/>
      <w:bookmarkStart w:id="68" w:name="_Toc234264060"/>
    </w:p>
    <w:p>
      <w:pPr>
        <w:overflowPunct w:val="0"/>
        <w:spacing w:line="600" w:lineRule="exact"/>
        <w:ind w:firstLine="640" w:firstLineChars="200"/>
        <w:rPr>
          <w:szCs w:val="32"/>
        </w:rPr>
      </w:pPr>
      <w:r>
        <w:rPr>
          <w:bCs/>
          <w:szCs w:val="32"/>
        </w:rPr>
        <w:t>健全劳动关系协调机制，依法保障劳动者和企业双方权益，有效预防和化解劳动争议和矛盾纠纷，构建规范有序、公正合理、合作共赢、和谐稳定的劳动关系。</w:t>
      </w:r>
    </w:p>
    <w:p>
      <w:pPr>
        <w:overflowPunct w:val="0"/>
        <w:spacing w:line="590" w:lineRule="exact"/>
        <w:ind w:firstLine="640" w:firstLineChars="200"/>
        <w:rPr>
          <w:szCs w:val="32"/>
        </w:rPr>
      </w:pPr>
      <w:bookmarkStart w:id="69" w:name="_Toc78529364"/>
      <w:r>
        <w:rPr>
          <w:rStyle w:val="10"/>
          <w:b w:val="0"/>
          <w:szCs w:val="32"/>
        </w:rPr>
        <w:t>（一）健全劳动关系协调机制</w:t>
      </w:r>
      <w:bookmarkEnd w:id="69"/>
      <w:r>
        <w:rPr>
          <w:rFonts w:eastAsia="楷体_GB2312"/>
          <w:b/>
          <w:szCs w:val="32"/>
        </w:rPr>
        <w:t>。</w:t>
      </w:r>
      <w:r>
        <w:rPr>
          <w:bCs/>
          <w:szCs w:val="32"/>
        </w:rPr>
        <w:t>加强协调劳动关系三方机制建设。全面实施劳动合同和</w:t>
      </w:r>
      <w:r>
        <w:rPr>
          <w:szCs w:val="32"/>
        </w:rPr>
        <w:t>集体合同</w:t>
      </w:r>
      <w:r>
        <w:rPr>
          <w:bCs/>
          <w:szCs w:val="32"/>
        </w:rPr>
        <w:t>制度，规范劳务派遣用工，优化新业态劳动用工服务，指导新业态劳动用工规范健康发展。实施劳动关系“和谐同行”三年行动计划，</w:t>
      </w:r>
      <w:r>
        <w:rPr>
          <w:szCs w:val="32"/>
        </w:rPr>
        <w:t>推进劳动关系治理体系和治理能力建设。</w:t>
      </w:r>
      <w:r>
        <w:rPr>
          <w:bCs/>
          <w:szCs w:val="32"/>
        </w:rPr>
        <w:t>强化劳动关系源头治理，</w:t>
      </w:r>
      <w:r>
        <w:rPr>
          <w:szCs w:val="32"/>
        </w:rPr>
        <w:t>完善劳动关系形势分析制度，建立健全劳动关系风险监测预警体系。落实《浙江省企业规模裁员工作指引》，加强对企业经济性裁员的监测、规范和引导，指导企业采取多种措施稳定工作岗位，会同相关部门指导关停企业做好职工安置工作，确保不发生群体性事件。</w:t>
      </w:r>
    </w:p>
    <w:bookmarkEnd w:id="65"/>
    <w:bookmarkEnd w:id="66"/>
    <w:bookmarkEnd w:id="67"/>
    <w:bookmarkEnd w:id="68"/>
    <w:p>
      <w:pPr>
        <w:overflowPunct w:val="0"/>
        <w:spacing w:line="590" w:lineRule="exact"/>
        <w:ind w:firstLine="640" w:firstLineChars="200"/>
        <w:rPr>
          <w:szCs w:val="32"/>
        </w:rPr>
      </w:pPr>
      <w:bookmarkStart w:id="70" w:name="_Toc78529366"/>
      <w:r>
        <w:rPr>
          <w:rStyle w:val="10"/>
          <w:b w:val="0"/>
          <w:szCs w:val="32"/>
        </w:rPr>
        <w:t>（二）完善劳动人事争议调解仲裁体制机制</w:t>
      </w:r>
      <w:bookmarkEnd w:id="70"/>
      <w:r>
        <w:rPr>
          <w:rFonts w:eastAsia="楷体_GB2312"/>
          <w:b/>
          <w:bCs/>
          <w:szCs w:val="32"/>
        </w:rPr>
        <w:t>。</w:t>
      </w:r>
      <w:r>
        <w:rPr>
          <w:szCs w:val="32"/>
        </w:rPr>
        <w:t>指导用人单位完善申诉协商机制，因地因企分类推动企业、商（协）会劳动争议协商调解机制建设。依托当地社会矛盾纠纷调处化解中心，加强基层劳动争议预防调解，推进乡镇（街道）劳动纠纷多元化解机制全覆盖，做到大多数劳动纠纷就近就地首先在一线化解。强化调解，推行全流程、多环节调解机制，推进调裁、调审衔接，做到更多纠纷柔性化解。提升仲裁效能，创新办案机制，完善流程管理、服务规程、指导监督、评价机制等制度。探索仲裁员分级管理，完善仲裁员素质提升机制。加强仲裁与诉讼衔接，逐步统一裁审标准。提升“互联网+调解仲裁”软硬件建设水平，推行“指尖仲裁、掌上办案”。</w:t>
      </w:r>
    </w:p>
    <w:p>
      <w:pPr>
        <w:overflowPunct w:val="0"/>
        <w:spacing w:line="590" w:lineRule="exact"/>
        <w:ind w:firstLine="640" w:firstLineChars="200"/>
        <w:rPr>
          <w:szCs w:val="32"/>
        </w:rPr>
      </w:pPr>
      <w:bookmarkStart w:id="71" w:name="_Toc78529367"/>
      <w:r>
        <w:rPr>
          <w:rStyle w:val="10"/>
          <w:b w:val="0"/>
          <w:szCs w:val="32"/>
        </w:rPr>
        <w:t>（三）</w:t>
      </w:r>
      <w:bookmarkEnd w:id="71"/>
      <w:r>
        <w:rPr>
          <w:rStyle w:val="10"/>
          <w:b w:val="0"/>
          <w:szCs w:val="32"/>
        </w:rPr>
        <w:t>改革创新劳动保障监察体制机制。</w:t>
      </w:r>
      <w:r>
        <w:rPr>
          <w:szCs w:val="32"/>
        </w:rPr>
        <w:t>实施“浙江安薪”智治工程，严格落实“六项制度”，加强“无欠薪”县（市、区）动态管理和复查复核，打造“浙江无欠薪”2.0升级版。开发建成人力社保信用监管平台，建立健全人力社保信用体系、监管责任体系，厘清重点对象清单，分类实施信用监管，完善守信联合激励和失信联合惩戒机制。加强劳动保障监察执法能力建设，培训监察执法员和劳资专管员，厘清监管事项清单，制定监管规则，建立人力社保相关领域执法监管体制。加大应急处置力度，修订完善应急预案，不断提升应急处置和风险防控能力，建成具有“浙江辨识度”的劳动保障监察执法体制机制。</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677" w:hRule="atLeast"/>
          <w:jc w:val="center"/>
        </w:trPr>
        <w:tc>
          <w:tcPr>
            <w:tcW w:w="8845" w:type="dxa"/>
            <w:vAlign w:val="center"/>
          </w:tcPr>
          <w:p>
            <w:pPr>
              <w:overflowPunct w:val="0"/>
              <w:spacing w:before="240" w:beforeLines="100" w:after="240" w:afterLines="100" w:line="360" w:lineRule="exact"/>
              <w:jc w:val="center"/>
              <w:rPr>
                <w:rFonts w:eastAsia="黑体"/>
                <w:sz w:val="24"/>
              </w:rPr>
            </w:pPr>
            <w:r>
              <w:rPr>
                <w:rFonts w:eastAsia="黑体"/>
                <w:sz w:val="28"/>
                <w:szCs w:val="28"/>
              </w:rPr>
              <w:t>专栏9</w:t>
            </w:r>
            <w:r>
              <w:rPr>
                <w:rFonts w:hint="eastAsia" w:eastAsia="黑体"/>
                <w:sz w:val="28"/>
                <w:szCs w:val="28"/>
              </w:rPr>
              <w:t xml:space="preserve"> </w:t>
            </w:r>
            <w:r>
              <w:rPr>
                <w:rFonts w:eastAsia="黑体"/>
                <w:sz w:val="28"/>
                <w:szCs w:val="28"/>
              </w:rPr>
              <w:t xml:space="preserve"> 和谐劳动关系专项行动</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01 劳动关系“和谐同行”专项行动</w:t>
            </w:r>
          </w:p>
          <w:p>
            <w:pPr>
              <w:overflowPunct w:val="0"/>
              <w:spacing w:line="360" w:lineRule="exact"/>
              <w:ind w:firstLine="480" w:firstLineChars="200"/>
              <w:rPr>
                <w:sz w:val="24"/>
              </w:rPr>
            </w:pPr>
            <w:r>
              <w:rPr>
                <w:sz w:val="24"/>
              </w:rPr>
              <w:t>组织开展10万家企业劳动用工体检，组织培训10万名劳动关系协调员，创建和谐企业1万家。</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02 仲裁效能提升专项行动</w:t>
            </w:r>
          </w:p>
          <w:p>
            <w:pPr>
              <w:overflowPunct w:val="0"/>
              <w:spacing w:line="360" w:lineRule="exact"/>
              <w:ind w:firstLine="480" w:firstLineChars="200"/>
              <w:rPr>
                <w:sz w:val="24"/>
              </w:rPr>
            </w:pPr>
            <w:r>
              <w:rPr>
                <w:sz w:val="24"/>
              </w:rPr>
              <w:t>提升仲裁办案质量，建设调解仲裁基础保障，挖掘和培育以“和”与“公平正义”为主题的调解仲裁文化内核。</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03 “浙江无欠薪”行动</w:t>
            </w:r>
          </w:p>
          <w:p>
            <w:pPr>
              <w:overflowPunct w:val="0"/>
              <w:spacing w:line="360" w:lineRule="exact"/>
              <w:ind w:firstLine="480" w:firstLineChars="200"/>
              <w:rPr>
                <w:rFonts w:eastAsia="黑体"/>
                <w:sz w:val="24"/>
              </w:rPr>
            </w:pPr>
            <w:r>
              <w:rPr>
                <w:sz w:val="24"/>
              </w:rPr>
              <w:t>实施“浙江安薪”智治工程，落实“六项制度”，加强“无欠薪”县（市、区）动态管理和复查复核，打造“浙江无欠薪”2.0升级版。</w:t>
            </w:r>
          </w:p>
        </w:tc>
      </w:tr>
    </w:tbl>
    <w:p>
      <w:pPr>
        <w:overflowPunct w:val="0"/>
        <w:spacing w:line="590" w:lineRule="exact"/>
        <w:ind w:firstLine="640" w:firstLineChars="200"/>
        <w:rPr>
          <w:kern w:val="0"/>
          <w:szCs w:val="32"/>
        </w:rPr>
      </w:pPr>
      <w:bookmarkStart w:id="72" w:name="_Toc78529368"/>
      <w:r>
        <w:rPr>
          <w:rStyle w:val="10"/>
          <w:b w:val="0"/>
          <w:szCs w:val="32"/>
        </w:rPr>
        <w:t>（四）强化农民工服务保障</w:t>
      </w:r>
      <w:bookmarkEnd w:id="72"/>
      <w:r>
        <w:rPr>
          <w:rFonts w:eastAsia="楷体_GB2312"/>
          <w:b/>
          <w:kern w:val="0"/>
          <w:szCs w:val="32"/>
        </w:rPr>
        <w:t>。</w:t>
      </w:r>
      <w:r>
        <w:rPr>
          <w:kern w:val="0"/>
          <w:szCs w:val="32"/>
        </w:rPr>
        <w:t>健全完善省市县三级农民工工作协调机制，加强工作队伍建设，提升基层服务能力。探索建立农民工综合信息平台。大力促进和稳定农民工就业，鼓励农民工多渠道就业。实施百万农民工素质提升工程，多形式开展农民工职业技能培训。</w:t>
      </w:r>
      <w:r>
        <w:rPr>
          <w:szCs w:val="32"/>
        </w:rPr>
        <w:t>积极推进农民工返乡入乡合作创业，助力乡村振兴战略实施。</w:t>
      </w:r>
      <w:r>
        <w:rPr>
          <w:kern w:val="0"/>
          <w:szCs w:val="32"/>
        </w:rPr>
        <w:t>强化农民工合法权益保障，推动农民工依法签订劳动合同，推进农民工依法参加城镇职工社会保险，落实农民工与城镇职工享受同工同酬权利。不断提升农民工享受城镇基本公共服务水平，有序推进农民工市民化。</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17" w:hRule="atLeast"/>
          <w:jc w:val="center"/>
        </w:trPr>
        <w:tc>
          <w:tcPr>
            <w:tcW w:w="8845" w:type="dxa"/>
            <w:vAlign w:val="center"/>
          </w:tcPr>
          <w:p>
            <w:pPr>
              <w:overflowPunct w:val="0"/>
              <w:spacing w:before="240" w:beforeLines="100" w:after="240" w:afterLines="100" w:line="360" w:lineRule="exact"/>
              <w:jc w:val="center"/>
              <w:rPr>
                <w:rFonts w:eastAsia="黑体"/>
                <w:sz w:val="28"/>
                <w:szCs w:val="28"/>
              </w:rPr>
            </w:pPr>
            <w:r>
              <w:rPr>
                <w:rFonts w:eastAsia="黑体"/>
                <w:sz w:val="28"/>
                <w:szCs w:val="28"/>
              </w:rPr>
              <w:t xml:space="preserve">专栏10 </w:t>
            </w:r>
            <w:r>
              <w:rPr>
                <w:rFonts w:hint="eastAsia" w:eastAsia="黑体"/>
                <w:sz w:val="28"/>
                <w:szCs w:val="28"/>
              </w:rPr>
              <w:t xml:space="preserve"> </w:t>
            </w:r>
            <w:r>
              <w:rPr>
                <w:rFonts w:eastAsia="黑体"/>
                <w:sz w:val="28"/>
                <w:szCs w:val="28"/>
              </w:rPr>
              <w:t>助力“乡村振兴”组合拳</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01 促进乡村高质量就业创业</w:t>
            </w:r>
          </w:p>
          <w:p>
            <w:pPr>
              <w:overflowPunct w:val="0"/>
              <w:spacing w:line="360" w:lineRule="exact"/>
              <w:ind w:firstLine="480" w:firstLineChars="200"/>
              <w:rPr>
                <w:sz w:val="24"/>
              </w:rPr>
            </w:pPr>
            <w:r>
              <w:rPr>
                <w:sz w:val="24"/>
              </w:rPr>
              <w:t>持</w:t>
            </w:r>
            <w:r>
              <w:rPr>
                <w:spacing w:val="4"/>
                <w:sz w:val="24"/>
              </w:rPr>
              <w:t>续提高乡村公共就业服务水平，有效拓宽农村劳动力转移就业渠道。高质量推进乡村合作创业，组织实施乡村合作创业带头人培训三年行动，提升乡村创业成效。</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02 强化乡村振兴人才支撑</w:t>
            </w:r>
          </w:p>
          <w:p>
            <w:pPr>
              <w:overflowPunct w:val="0"/>
              <w:spacing w:line="360" w:lineRule="exact"/>
              <w:ind w:firstLine="480" w:firstLineChars="200"/>
              <w:rPr>
                <w:sz w:val="24"/>
              </w:rPr>
            </w:pPr>
            <w:r>
              <w:rPr>
                <w:sz w:val="24"/>
              </w:rPr>
              <w:t>鼓励支持大学生、科研人员等投身乡村振兴建设。推进事业单位人事管理体制机制创新，鼓励更多高水平教师、医生服务农村学校、医院。深化农业技术人员职称制度改革。</w:t>
            </w:r>
          </w:p>
          <w:p>
            <w:pPr>
              <w:overflowPunct w:val="0"/>
              <w:spacing w:line="360" w:lineRule="exact"/>
              <w:ind w:firstLine="480" w:firstLineChars="200"/>
              <w:rPr>
                <w:b/>
                <w:bCs/>
                <w:sz w:val="24"/>
              </w:rPr>
            </w:pPr>
            <w:r>
              <w:rPr>
                <w:rFonts w:eastAsia="楷体_GB2312"/>
                <w:bCs/>
                <w:sz w:val="24"/>
              </w:rPr>
              <w:t>03 提升乡村社会保障水平</w:t>
            </w:r>
          </w:p>
          <w:p>
            <w:pPr>
              <w:overflowPunct w:val="0"/>
              <w:spacing w:line="360" w:lineRule="exact"/>
              <w:ind w:firstLine="480" w:firstLineChars="200"/>
              <w:rPr>
                <w:sz w:val="24"/>
              </w:rPr>
            </w:pPr>
            <w:r>
              <w:rPr>
                <w:sz w:val="24"/>
              </w:rPr>
              <w:t>推进城乡居民基本养老保险待遇确定和基础养老金正常调整机制落实。</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04 维护农民工劳动保障权益</w:t>
            </w:r>
          </w:p>
          <w:p>
            <w:pPr>
              <w:overflowPunct w:val="0"/>
              <w:spacing w:line="360" w:lineRule="exact"/>
              <w:ind w:firstLine="480" w:firstLineChars="200"/>
              <w:rPr>
                <w:rFonts w:eastAsia="黑体"/>
                <w:sz w:val="24"/>
              </w:rPr>
            </w:pPr>
            <w:r>
              <w:rPr>
                <w:sz w:val="24"/>
              </w:rPr>
              <w:t>畅通调解仲裁绿色通道，快速处理农民工劳动纠纷案件。深化根治欠薪工作，加强隐患排查、实施联合惩戒，依法解决农民工欠薪问题。</w:t>
            </w:r>
          </w:p>
        </w:tc>
      </w:tr>
    </w:tbl>
    <w:p>
      <w:pPr>
        <w:overflowPunct w:val="0"/>
        <w:spacing w:before="120" w:beforeLines="50" w:line="590" w:lineRule="exact"/>
        <w:ind w:firstLine="640" w:firstLineChars="200"/>
        <w:rPr>
          <w:rFonts w:eastAsia="黑体"/>
          <w:szCs w:val="32"/>
        </w:rPr>
      </w:pPr>
      <w:bookmarkStart w:id="73" w:name="_Toc78529369"/>
      <w:r>
        <w:rPr>
          <w:rFonts w:eastAsia="黑体"/>
          <w:szCs w:val="32"/>
        </w:rPr>
        <w:t>七、健全更合理的企事业工资收入分配机制</w:t>
      </w:r>
    </w:p>
    <w:p>
      <w:pPr>
        <w:overflowPunct w:val="0"/>
        <w:spacing w:line="590" w:lineRule="exact"/>
        <w:ind w:firstLine="640" w:firstLineChars="200"/>
        <w:rPr>
          <w:rFonts w:eastAsia="黑体"/>
          <w:szCs w:val="32"/>
        </w:rPr>
      </w:pPr>
      <w:bookmarkStart w:id="74" w:name="_Toc78529365"/>
      <w:r>
        <w:rPr>
          <w:szCs w:val="32"/>
        </w:rPr>
        <w:t>深化工资制度改革，完善企业和事业单位工资决定和增长机制，着力提高低收入群体收入，促进扩大中等收入群体，扎实推动广大人民群众走向共同富裕。</w:t>
      </w:r>
    </w:p>
    <w:bookmarkEnd w:id="74"/>
    <w:p>
      <w:pPr>
        <w:overflowPunct w:val="0"/>
        <w:spacing w:line="590" w:lineRule="exact"/>
        <w:ind w:firstLine="640" w:firstLineChars="200"/>
        <w:rPr>
          <w:szCs w:val="32"/>
        </w:rPr>
      </w:pPr>
      <w:bookmarkStart w:id="75" w:name="_Toc78529361"/>
      <w:r>
        <w:rPr>
          <w:rStyle w:val="10"/>
          <w:b w:val="0"/>
          <w:szCs w:val="32"/>
        </w:rPr>
        <w:t>（一）深化企业工资收入分配制度改革</w:t>
      </w:r>
      <w:r>
        <w:rPr>
          <w:rFonts w:eastAsia="楷体_GB2312"/>
          <w:b/>
          <w:szCs w:val="32"/>
        </w:rPr>
        <w:t>。</w:t>
      </w:r>
      <w:r>
        <w:rPr>
          <w:szCs w:val="32"/>
        </w:rPr>
        <w:t>完善最低工资标准正常调整机制，适时适度调整最低工资标准，促进低收入群体工资较快增长。大力推广工资集体协商制度，促进企业建立健全职工工资正常增长机制，努力提高技能人才工资水平，努力提高中等收入人群比重。完善国有企业负责人薪酬和工资总额管理政策，深化企业内部分配制度改革，健全国有企业市场化薪酬分配机制，激发国有企业活力。</w:t>
      </w:r>
      <w:r>
        <w:rPr>
          <w:bCs/>
          <w:szCs w:val="32"/>
        </w:rPr>
        <w:t>建立健全国有企业工资内外收入监督检查制度，规范收入分配秩序。</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837" w:hRule="atLeast"/>
          <w:jc w:val="center"/>
        </w:trPr>
        <w:tc>
          <w:tcPr>
            <w:tcW w:w="8845" w:type="dxa"/>
            <w:vAlign w:val="center"/>
          </w:tcPr>
          <w:p>
            <w:pPr>
              <w:overflowPunct w:val="0"/>
              <w:spacing w:before="240" w:beforeLines="100" w:after="240" w:afterLines="100" w:line="360" w:lineRule="exact"/>
              <w:jc w:val="center"/>
              <w:rPr>
                <w:rFonts w:eastAsia="黑体"/>
                <w:sz w:val="28"/>
                <w:szCs w:val="28"/>
              </w:rPr>
            </w:pPr>
            <w:r>
              <w:rPr>
                <w:rFonts w:eastAsia="黑体"/>
                <w:sz w:val="28"/>
                <w:szCs w:val="28"/>
              </w:rPr>
              <w:t xml:space="preserve">专栏11 </w:t>
            </w:r>
            <w:r>
              <w:rPr>
                <w:rFonts w:hint="eastAsia" w:eastAsia="黑体"/>
                <w:sz w:val="28"/>
                <w:szCs w:val="28"/>
              </w:rPr>
              <w:t xml:space="preserve"> </w:t>
            </w:r>
            <w:r>
              <w:rPr>
                <w:rFonts w:eastAsia="黑体"/>
                <w:sz w:val="28"/>
                <w:szCs w:val="28"/>
              </w:rPr>
              <w:t>优化企业工资收入分配专项行动</w:t>
            </w:r>
          </w:p>
          <w:p>
            <w:pPr>
              <w:pStyle w:val="6"/>
              <w:overflowPunct w:val="0"/>
              <w:snapToGrid/>
              <w:spacing w:line="350" w:lineRule="exact"/>
              <w:ind w:firstLine="480" w:firstLineChars="200"/>
              <w:jc w:val="both"/>
              <w:rPr>
                <w:rFonts w:eastAsia="楷体_GB2312"/>
                <w:bCs/>
                <w:sz w:val="24"/>
                <w:szCs w:val="24"/>
              </w:rPr>
            </w:pPr>
            <w:r>
              <w:rPr>
                <w:rFonts w:eastAsia="楷体_GB2312"/>
                <w:bCs/>
                <w:sz w:val="24"/>
                <w:szCs w:val="24"/>
              </w:rPr>
              <w:t>01 稳步提高最低工资标准</w:t>
            </w:r>
          </w:p>
          <w:p>
            <w:pPr>
              <w:overflowPunct w:val="0"/>
              <w:spacing w:line="350" w:lineRule="exact"/>
              <w:ind w:firstLine="480" w:firstLineChars="200"/>
              <w:rPr>
                <w:sz w:val="24"/>
              </w:rPr>
            </w:pPr>
            <w:r>
              <w:rPr>
                <w:sz w:val="24"/>
              </w:rPr>
              <w:t>适时适度调整最低工资标准，通过“提低”的传导作用，促进部分低工资群体进入中等收入群体，到2025年，最低工资标准达到社会平均工资的40%左右。</w:t>
            </w:r>
          </w:p>
          <w:p>
            <w:pPr>
              <w:pStyle w:val="6"/>
              <w:overflowPunct w:val="0"/>
              <w:snapToGrid/>
              <w:spacing w:line="350" w:lineRule="exact"/>
              <w:ind w:firstLine="480" w:firstLineChars="200"/>
              <w:jc w:val="both"/>
              <w:rPr>
                <w:rFonts w:eastAsia="楷体_GB2312"/>
                <w:bCs/>
                <w:sz w:val="24"/>
                <w:szCs w:val="24"/>
              </w:rPr>
            </w:pPr>
            <w:r>
              <w:rPr>
                <w:rFonts w:eastAsia="楷体_GB2312"/>
                <w:bCs/>
                <w:sz w:val="24"/>
                <w:szCs w:val="24"/>
              </w:rPr>
              <w:t>02 加强工资分配宏观指导</w:t>
            </w:r>
          </w:p>
          <w:p>
            <w:pPr>
              <w:overflowPunct w:val="0"/>
              <w:spacing w:line="350" w:lineRule="exact"/>
              <w:ind w:firstLine="480" w:firstLineChars="200"/>
              <w:rPr>
                <w:sz w:val="24"/>
              </w:rPr>
            </w:pPr>
            <w:r>
              <w:rPr>
                <w:sz w:val="24"/>
              </w:rPr>
              <w:t>探索改进工资指导线制度，指导企业内部分配制度改革等方面拓展。建立统一规范的企业薪酬调查和信息发布制度。定期发布人力资源市场工资指导价位和行业人工成本信息，推动企业建立健全反映劳动力市场供求关系和企业经济效益的工资决定及正常增长机制。</w:t>
            </w:r>
          </w:p>
          <w:p>
            <w:pPr>
              <w:pStyle w:val="6"/>
              <w:overflowPunct w:val="0"/>
              <w:snapToGrid/>
              <w:spacing w:line="350" w:lineRule="exact"/>
              <w:ind w:firstLine="480" w:firstLineChars="200"/>
              <w:jc w:val="both"/>
              <w:rPr>
                <w:rFonts w:eastAsia="楷体_GB2312"/>
                <w:bCs/>
                <w:sz w:val="24"/>
                <w:szCs w:val="24"/>
              </w:rPr>
            </w:pPr>
            <w:r>
              <w:rPr>
                <w:rFonts w:eastAsia="楷体_GB2312"/>
                <w:bCs/>
                <w:sz w:val="24"/>
                <w:szCs w:val="24"/>
              </w:rPr>
              <w:t>03 推进工资集体协商</w:t>
            </w:r>
          </w:p>
          <w:p>
            <w:pPr>
              <w:overflowPunct w:val="0"/>
              <w:spacing w:line="350" w:lineRule="exact"/>
              <w:ind w:firstLine="480" w:firstLineChars="200"/>
              <w:rPr>
                <w:sz w:val="24"/>
              </w:rPr>
            </w:pPr>
            <w:r>
              <w:rPr>
                <w:sz w:val="24"/>
              </w:rPr>
              <w:t>开展工资集体协商“要约行动”，积极稳妥推行工资集体协商和行业性、区域性工资集体协商，到2025年，已建工会企业全面建立工资集体协商制度。</w:t>
            </w:r>
          </w:p>
          <w:p>
            <w:pPr>
              <w:pStyle w:val="6"/>
              <w:overflowPunct w:val="0"/>
              <w:snapToGrid/>
              <w:spacing w:line="350" w:lineRule="exact"/>
              <w:ind w:firstLine="480" w:firstLineChars="200"/>
              <w:jc w:val="both"/>
              <w:rPr>
                <w:rFonts w:eastAsia="楷体_GB2312"/>
                <w:bCs/>
                <w:sz w:val="24"/>
                <w:szCs w:val="24"/>
              </w:rPr>
            </w:pPr>
            <w:r>
              <w:rPr>
                <w:rFonts w:eastAsia="楷体_GB2312"/>
                <w:bCs/>
                <w:sz w:val="24"/>
                <w:szCs w:val="24"/>
              </w:rPr>
              <w:t>04 合理调节部分行业过高收入</w:t>
            </w:r>
          </w:p>
          <w:p>
            <w:pPr>
              <w:overflowPunct w:val="0"/>
              <w:spacing w:line="350" w:lineRule="exact"/>
              <w:ind w:firstLine="480" w:firstLineChars="200"/>
              <w:rPr>
                <w:rFonts w:eastAsia="黑体"/>
                <w:sz w:val="24"/>
              </w:rPr>
            </w:pPr>
            <w:r>
              <w:rPr>
                <w:sz w:val="24"/>
              </w:rPr>
              <w:t>对国有企业负责人实行与选任方式相匹配、与企业功能性质相适应、与经营业绩相挂钩的差异化薪酬分配方法，对部分过高收入行业、非充分竞争类国有企业实行工资总额和工资水平双重调控政策，逐步缩小行业工资收入差距。</w:t>
            </w:r>
          </w:p>
        </w:tc>
      </w:tr>
    </w:tbl>
    <w:p>
      <w:pPr>
        <w:overflowPunct w:val="0"/>
        <w:spacing w:line="570" w:lineRule="exact"/>
        <w:ind w:firstLine="640" w:firstLineChars="200"/>
        <w:rPr>
          <w:szCs w:val="32"/>
        </w:rPr>
      </w:pPr>
      <w:r>
        <w:rPr>
          <w:rStyle w:val="10"/>
          <w:b w:val="0"/>
          <w:szCs w:val="32"/>
        </w:rPr>
        <w:t>（二）改革完善事业单位绩效工资制度</w:t>
      </w:r>
      <w:bookmarkEnd w:id="75"/>
      <w:r>
        <w:rPr>
          <w:rFonts w:eastAsia="楷体_GB2312"/>
          <w:b/>
          <w:szCs w:val="32"/>
        </w:rPr>
        <w:t>。</w:t>
      </w:r>
      <w:r>
        <w:rPr>
          <w:szCs w:val="32"/>
        </w:rPr>
        <w:t>持续落实义务教育教师平均工资水平不低于当地公务员平均工资水平联动机制。深化公立医院和县域医共体薪酬制度改革，健全完善与综合医改相衔接的激励约束机制；扩大和落实高校收入分配自主权，着力构建有利于高校高水平发展的薪酬制度体系；支持和鼓励科研院所做大做强，改革科研院所薪酬制度，探索实行新型事业单位管理体系；分类改革其他事业单位绩效工资管理模式，合理调控不同类型事业单位之间的收入分配差距。落实以增加知识价值为导向的收入分配政策，进一步完善高层次人才工资分配激励机制，激发事业单位人才创新创造活力。</w:t>
      </w:r>
    </w:p>
    <w:p>
      <w:pPr>
        <w:overflowPunct w:val="0"/>
        <w:spacing w:line="570" w:lineRule="exact"/>
        <w:ind w:firstLine="640" w:firstLineChars="200"/>
        <w:rPr>
          <w:rFonts w:eastAsia="黑体"/>
          <w:szCs w:val="32"/>
        </w:rPr>
      </w:pPr>
      <w:r>
        <w:rPr>
          <w:rFonts w:eastAsia="黑体"/>
          <w:szCs w:val="32"/>
        </w:rPr>
        <w:t>八、提供更优质的人社公共服务</w:t>
      </w:r>
      <w:bookmarkEnd w:id="73"/>
    </w:p>
    <w:p>
      <w:pPr>
        <w:overflowPunct w:val="0"/>
        <w:spacing w:line="590" w:lineRule="exact"/>
        <w:ind w:firstLine="640" w:firstLineChars="200"/>
        <w:rPr>
          <w:szCs w:val="32"/>
        </w:rPr>
      </w:pPr>
      <w:r>
        <w:rPr>
          <w:bCs/>
          <w:szCs w:val="32"/>
        </w:rPr>
        <w:t>增加公共服务供给，提升公共服务能力，构建覆盖全民、均等可及、高效优质的人社公共服务体系，不断提升服务水平和群众满意度。</w:t>
      </w:r>
    </w:p>
    <w:p>
      <w:pPr>
        <w:overflowPunct w:val="0"/>
        <w:spacing w:line="590" w:lineRule="exact"/>
        <w:ind w:firstLine="640" w:firstLineChars="200"/>
        <w:rPr>
          <w:szCs w:val="32"/>
        </w:rPr>
      </w:pPr>
      <w:bookmarkStart w:id="76" w:name="_Toc78529370"/>
      <w:r>
        <w:rPr>
          <w:rStyle w:val="10"/>
          <w:b w:val="0"/>
          <w:szCs w:val="32"/>
        </w:rPr>
        <w:t>（一）推进人社数字化</w:t>
      </w:r>
      <w:bookmarkEnd w:id="76"/>
      <w:r>
        <w:rPr>
          <w:rStyle w:val="10"/>
          <w:b w:val="0"/>
          <w:szCs w:val="32"/>
        </w:rPr>
        <w:t>改革</w:t>
      </w:r>
      <w:r>
        <w:rPr>
          <w:rFonts w:eastAsia="楷体_GB2312"/>
          <w:b/>
          <w:szCs w:val="32"/>
        </w:rPr>
        <w:t>。</w:t>
      </w:r>
      <w:bookmarkStart w:id="77" w:name="_Toc203683498"/>
      <w:bookmarkStart w:id="78" w:name="_Toc2001014007"/>
      <w:bookmarkStart w:id="79" w:name="_Toc61995543"/>
      <w:r>
        <w:rPr>
          <w:bCs/>
          <w:szCs w:val="32"/>
        </w:rPr>
        <w:t>把数字化贯穿到党的领导和就业创业、人才服务、社会保障、人事管理、工资分配、劳动关系等人社履职的全过程各方面，统筹推进数字技术应用和制度创新，推动人社核心业务和重大任务流程再造、协同高效，构建整体高效的政务运行体系、全域智慧的协同治理体系、优质便捷的政务服务体系、公平公正的监管执法体系、智能科学的决策指挥体系，破除制约创新发展的瓶颈，激发人社发展活力，加快实现全省人社治理现代化，努力在数字浙江建设中走在前列。</w:t>
      </w: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8845" w:type="dxa"/>
            <w:vAlign w:val="center"/>
          </w:tcPr>
          <w:p>
            <w:pPr>
              <w:overflowPunct w:val="0"/>
              <w:spacing w:before="240" w:beforeLines="100" w:after="240" w:afterLines="100" w:line="360" w:lineRule="exact"/>
              <w:jc w:val="center"/>
              <w:rPr>
                <w:rFonts w:eastAsia="黑体"/>
                <w:sz w:val="28"/>
                <w:szCs w:val="28"/>
              </w:rPr>
            </w:pPr>
            <w:r>
              <w:rPr>
                <w:rFonts w:eastAsia="黑体"/>
                <w:sz w:val="28"/>
                <w:szCs w:val="28"/>
              </w:rPr>
              <w:t>专栏12</w:t>
            </w:r>
            <w:r>
              <w:rPr>
                <w:rFonts w:hint="eastAsia" w:eastAsia="黑体"/>
                <w:sz w:val="28"/>
                <w:szCs w:val="28"/>
              </w:rPr>
              <w:t xml:space="preserve"> </w:t>
            </w:r>
            <w:r>
              <w:rPr>
                <w:rFonts w:eastAsia="黑体"/>
                <w:sz w:val="28"/>
                <w:szCs w:val="28"/>
              </w:rPr>
              <w:t xml:space="preserve"> 人社数字化改革</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01 政务运行数字化改革</w:t>
            </w:r>
          </w:p>
          <w:p>
            <w:pPr>
              <w:overflowPunct w:val="0"/>
              <w:adjustRightInd w:val="0"/>
              <w:snapToGrid w:val="0"/>
              <w:spacing w:line="360" w:lineRule="exact"/>
              <w:ind w:firstLine="480" w:firstLineChars="200"/>
              <w:rPr>
                <w:sz w:val="24"/>
              </w:rPr>
            </w:pPr>
            <w:r>
              <w:rPr>
                <w:sz w:val="24"/>
              </w:rPr>
              <w:t>建设并迭代政务系统，与决策部署和监督评价环节无缝衔接、有机融合，形成纵向贯通、横向协调、执行有力、运转高效的数字化政务运行体系。</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02 协同治理数字化改革</w:t>
            </w:r>
          </w:p>
          <w:p>
            <w:pPr>
              <w:pStyle w:val="6"/>
              <w:overflowPunct w:val="0"/>
              <w:adjustRightInd w:val="0"/>
              <w:spacing w:line="360" w:lineRule="exact"/>
              <w:ind w:firstLine="480" w:firstLineChars="200"/>
              <w:jc w:val="both"/>
              <w:rPr>
                <w:sz w:val="24"/>
                <w:szCs w:val="24"/>
              </w:rPr>
            </w:pPr>
            <w:r>
              <w:rPr>
                <w:sz w:val="24"/>
                <w:szCs w:val="24"/>
              </w:rPr>
              <w:t>打造全局“一屏掌控”、政令“一键智达”、执行“一贯到底”、监督“一览无余”的数字化协同工作场景，构建综合集成、协同高效、闭环管理的工作运行机制，开创人社全域智慧协同治理新格局。重点包括：提升“数字就业”“数字社保”“数字人才”“智慧技能”“事业单位人事工资全周期管理”“民生一卡通”“浙江无欠薪”“智慧仲裁”等应用，建设“浙江安薪”“电子劳动合同”应用。</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03 政务服务数字化改革</w:t>
            </w:r>
          </w:p>
          <w:p>
            <w:pPr>
              <w:pStyle w:val="5"/>
              <w:overflowPunct w:val="0"/>
              <w:adjustRightInd w:val="0"/>
              <w:snapToGrid w:val="0"/>
              <w:spacing w:line="360" w:lineRule="exact"/>
              <w:ind w:firstLine="480"/>
              <w:rPr>
                <w:rFonts w:ascii="Times New Roman" w:hAnsi="Times New Roman" w:eastAsia="仿宋_GB2312"/>
                <w:sz w:val="24"/>
                <w:szCs w:val="24"/>
              </w:rPr>
            </w:pPr>
            <w:r>
              <w:rPr>
                <w:rFonts w:ascii="Times New Roman" w:hAnsi="Times New Roman" w:eastAsia="仿宋_GB2312"/>
                <w:sz w:val="24"/>
                <w:szCs w:val="24"/>
              </w:rPr>
              <w:t>全面深化政务服务“一网通办”“全域通办”“一件事”集成办，健全全省统一、线上线下融合的政务服务体系，推动人社政务服务从“快办”向“智办”升级。</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04 监督管理数字化改革</w:t>
            </w:r>
          </w:p>
          <w:p>
            <w:pPr>
              <w:overflowPunct w:val="0"/>
              <w:adjustRightInd w:val="0"/>
              <w:snapToGrid w:val="0"/>
              <w:spacing w:line="360" w:lineRule="exact"/>
              <w:ind w:firstLine="480" w:firstLineChars="200"/>
              <w:rPr>
                <w:sz w:val="24"/>
              </w:rPr>
            </w:pPr>
            <w:r>
              <w:rPr>
                <w:sz w:val="24"/>
              </w:rPr>
              <w:t>形成人社工作全方位、全链条闭环式监管架构，构建人社风险管控体系。重点包括：政策监管、基金监管、执法监管、资金使用监管。</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05 决策指挥数字化改革</w:t>
            </w:r>
          </w:p>
          <w:p>
            <w:pPr>
              <w:overflowPunct w:val="0"/>
              <w:adjustRightInd w:val="0"/>
              <w:snapToGrid w:val="0"/>
              <w:spacing w:line="360" w:lineRule="exact"/>
              <w:ind w:firstLine="480" w:firstLineChars="200"/>
              <w:rPr>
                <w:sz w:val="24"/>
              </w:rPr>
            </w:pPr>
            <w:r>
              <w:rPr>
                <w:sz w:val="24"/>
              </w:rPr>
              <w:t>完善“人社指数”，建立数字化决策指挥机制，实现数字汇智更敏捷、数字辅策更智慧、数字预测更精准、数字指挥更科学，推进人社治理现代化。</w:t>
            </w:r>
          </w:p>
          <w:p>
            <w:pPr>
              <w:pStyle w:val="6"/>
              <w:overflowPunct w:val="0"/>
              <w:snapToGrid/>
              <w:spacing w:line="360" w:lineRule="exact"/>
              <w:ind w:firstLine="480" w:firstLineChars="200"/>
              <w:jc w:val="both"/>
              <w:rPr>
                <w:rFonts w:eastAsia="楷体_GB2312"/>
                <w:bCs/>
                <w:sz w:val="24"/>
                <w:szCs w:val="24"/>
              </w:rPr>
            </w:pPr>
            <w:r>
              <w:rPr>
                <w:rFonts w:eastAsia="楷体_GB2312"/>
                <w:bCs/>
                <w:sz w:val="24"/>
                <w:szCs w:val="24"/>
              </w:rPr>
              <w:t>06 体制机制数字化改革</w:t>
            </w:r>
          </w:p>
          <w:p>
            <w:pPr>
              <w:pStyle w:val="5"/>
              <w:overflowPunct w:val="0"/>
              <w:spacing w:line="360" w:lineRule="exact"/>
              <w:ind w:firstLine="480"/>
              <w:rPr>
                <w:rFonts w:ascii="Times New Roman" w:hAnsi="Times New Roman" w:eastAsia="黑体"/>
                <w:sz w:val="24"/>
                <w:szCs w:val="24"/>
              </w:rPr>
            </w:pPr>
            <w:r>
              <w:rPr>
                <w:rFonts w:ascii="Times New Roman" w:hAnsi="Times New Roman" w:eastAsia="仿宋_GB2312"/>
                <w:sz w:val="24"/>
                <w:szCs w:val="24"/>
              </w:rPr>
              <w:t>全面构建一整套与数字人社相适应的体制机制和制度框架，推动数字化改革不断迈出新步伐、实现新突破。</w:t>
            </w:r>
          </w:p>
        </w:tc>
      </w:tr>
    </w:tbl>
    <w:p>
      <w:pPr>
        <w:overflowPunct w:val="0"/>
        <w:spacing w:line="570" w:lineRule="exact"/>
        <w:ind w:firstLine="640" w:firstLineChars="200"/>
        <w:rPr>
          <w:szCs w:val="32"/>
        </w:rPr>
      </w:pPr>
      <w:bookmarkStart w:id="80" w:name="_Toc78529371"/>
      <w:r>
        <w:rPr>
          <w:rStyle w:val="10"/>
          <w:b w:val="0"/>
          <w:szCs w:val="32"/>
        </w:rPr>
        <w:t>（二）推进人社领域长三角一体化高质量发展</w:t>
      </w:r>
      <w:bookmarkEnd w:id="80"/>
      <w:r>
        <w:rPr>
          <w:rFonts w:eastAsia="楷体_GB2312"/>
          <w:b/>
          <w:szCs w:val="32"/>
        </w:rPr>
        <w:t>。</w:t>
      </w:r>
      <w:r>
        <w:rPr>
          <w:szCs w:val="32"/>
        </w:rPr>
        <w:t>持续完善长三角高校毕业生信息共享机制，合力稳定高校毕业生就业。探索建立统一的人才职业资格认证标准，推进长三角生态绿色一体化发展示范区专业技术人才职业资格互认。加强长三角人力资源服务产业园市场化联盟建设，促进市场的互融互通和共建共享。推进社保服务事项跨区域一网通办和数据互通共享，探索推进社会保障卡“一卡多用、区域通用”。进一步强化劳动保障违法案件信息信用共享，深化跨区域监察案件协查、调解仲裁协作、农民工维权服务等。</w:t>
      </w:r>
    </w:p>
    <w:p>
      <w:pPr>
        <w:overflowPunct w:val="0"/>
        <w:spacing w:line="570" w:lineRule="exact"/>
        <w:ind w:firstLine="640" w:firstLineChars="200"/>
        <w:rPr>
          <w:szCs w:val="32"/>
        </w:rPr>
      </w:pPr>
      <w:bookmarkStart w:id="81" w:name="_Toc78529372"/>
      <w:r>
        <w:rPr>
          <w:rStyle w:val="10"/>
          <w:b w:val="0"/>
          <w:szCs w:val="32"/>
        </w:rPr>
        <w:t>（三）推进人社领域基本公共服务均等化发展</w:t>
      </w:r>
      <w:bookmarkEnd w:id="81"/>
      <w:r>
        <w:rPr>
          <w:rFonts w:eastAsia="楷体_GB2312"/>
          <w:b/>
          <w:szCs w:val="32"/>
        </w:rPr>
        <w:t>。</w:t>
      </w:r>
      <w:r>
        <w:rPr>
          <w:szCs w:val="32"/>
        </w:rPr>
        <w:t>构建覆盖全民、贯穿全程、辐射全域、便捷高效的全方位公共就业创业服务体系，加强公共就业服务平台建设。建立安全、便捷、高效的社会保险经办管理服务网络体系，加快推进社会保障管理服务社会化工作。丰富人社服务供给渠道，加强对老年人、残疾人等特殊群体的关爱服务。稳步推进基层管理迫切需要且能有效承接的审批服务事项向乡镇和街道赋权。推进基层劳动人事争议调解仲裁、劳动监察、信访入驻矛盾调解中心，实现劳动纠纷“只进一扇门”“最多跑一地”。</w:t>
      </w:r>
    </w:p>
    <w:p>
      <w:pPr>
        <w:overflowPunct w:val="0"/>
        <w:spacing w:line="590" w:lineRule="exact"/>
        <w:ind w:firstLine="640" w:firstLineChars="200"/>
        <w:rPr>
          <w:szCs w:val="32"/>
        </w:rPr>
      </w:pPr>
      <w:bookmarkStart w:id="82" w:name="_Toc78529373"/>
      <w:r>
        <w:rPr>
          <w:rStyle w:val="10"/>
          <w:b w:val="0"/>
          <w:szCs w:val="32"/>
        </w:rPr>
        <w:t>（四）推进人社领域基本公共服务标准化建设</w:t>
      </w:r>
      <w:bookmarkEnd w:id="82"/>
      <w:r>
        <w:rPr>
          <w:rFonts w:eastAsia="楷体_GB2312"/>
          <w:b/>
          <w:szCs w:val="32"/>
        </w:rPr>
        <w:t>。</w:t>
      </w:r>
      <w:r>
        <w:rPr>
          <w:szCs w:val="32"/>
        </w:rPr>
        <w:t>梳理人社领域标准清单，加快制修订公共服务标准，细化实施配套标准。坚持需求导向，进一步改革制约全流程网上办理的规章制度和业务流程，形成事项清单、业务标准迭代升级的常态化机制。贯彻《银行办理社保经办业务服务指南》省级地方标准，规范社银合作。完善公共服务设施设备布局、建设标准和人员配备标准。开展标准化试点，加强重要公共服务标准实施的监督和评估。形成组织规模完善、流程操作标准、程序制度规范、协调机制顺畅的人社公共服务体系。</w:t>
      </w:r>
    </w:p>
    <w:p>
      <w:pPr>
        <w:overflowPunct w:val="0"/>
        <w:spacing w:line="590" w:lineRule="exact"/>
        <w:ind w:firstLine="640" w:firstLineChars="200"/>
        <w:rPr>
          <w:rFonts w:eastAsia="黑体"/>
          <w:szCs w:val="32"/>
        </w:rPr>
      </w:pPr>
      <w:bookmarkStart w:id="83" w:name="_Toc1165856281"/>
      <w:bookmarkStart w:id="84" w:name="_Toc78529374"/>
      <w:r>
        <w:rPr>
          <w:rFonts w:eastAsia="黑体"/>
          <w:szCs w:val="32"/>
        </w:rPr>
        <w:t>九、强化规划实施</w:t>
      </w:r>
      <w:bookmarkEnd w:id="77"/>
      <w:r>
        <w:rPr>
          <w:rFonts w:eastAsia="黑体"/>
          <w:szCs w:val="32"/>
        </w:rPr>
        <w:t>保障</w:t>
      </w:r>
      <w:bookmarkEnd w:id="78"/>
      <w:bookmarkEnd w:id="79"/>
      <w:bookmarkEnd w:id="83"/>
      <w:bookmarkEnd w:id="84"/>
    </w:p>
    <w:p>
      <w:pPr>
        <w:overflowPunct w:val="0"/>
        <w:spacing w:line="590" w:lineRule="exact"/>
        <w:ind w:firstLine="640" w:firstLineChars="200"/>
        <w:rPr>
          <w:szCs w:val="32"/>
        </w:rPr>
      </w:pPr>
      <w:bookmarkStart w:id="85" w:name="_Toc78529375"/>
      <w:bookmarkStart w:id="86" w:name="_Toc1925596281"/>
      <w:bookmarkStart w:id="87" w:name="_Toc728506326"/>
      <w:bookmarkStart w:id="88" w:name="_Toc424885570"/>
      <w:bookmarkStart w:id="89" w:name="_Toc1388616907"/>
      <w:r>
        <w:rPr>
          <w:szCs w:val="32"/>
        </w:rPr>
        <w:t>广泛动员各方力量，加大规划监测评估，完善保障措施，保障本规划有效实施，确保本规划确定的各项目标任务落到实处。</w:t>
      </w:r>
    </w:p>
    <w:p>
      <w:pPr>
        <w:overflowPunct w:val="0"/>
        <w:spacing w:line="590" w:lineRule="exact"/>
        <w:ind w:firstLine="640" w:firstLineChars="200"/>
        <w:rPr>
          <w:szCs w:val="32"/>
        </w:rPr>
      </w:pPr>
      <w:r>
        <w:rPr>
          <w:rStyle w:val="10"/>
          <w:b w:val="0"/>
          <w:szCs w:val="32"/>
        </w:rPr>
        <w:t>（一）推进法治建设</w:t>
      </w:r>
      <w:bookmarkEnd w:id="85"/>
      <w:bookmarkEnd w:id="86"/>
      <w:bookmarkEnd w:id="87"/>
      <w:bookmarkEnd w:id="88"/>
      <w:bookmarkEnd w:id="89"/>
      <w:r>
        <w:rPr>
          <w:rFonts w:eastAsia="楷体_GB2312"/>
          <w:b/>
          <w:szCs w:val="32"/>
        </w:rPr>
        <w:t>。</w:t>
      </w:r>
      <w:bookmarkStart w:id="90" w:name="_Toc1302098227"/>
      <w:bookmarkStart w:id="91" w:name="_Toc424885571"/>
      <w:bookmarkStart w:id="92" w:name="_Toc696997501"/>
      <w:bookmarkStart w:id="93" w:name="_Toc1545407088"/>
      <w:r>
        <w:rPr>
          <w:kern w:val="0"/>
          <w:szCs w:val="32"/>
        </w:rPr>
        <w:t>进一步完善地方法规规章，积极推进《浙江省社会保险基金监督条例》《浙江省劳动人事争议仲裁调解实施办法》立法进程，稳步推动《浙江省劳动人事争议调解仲裁条例（修改）》《浙江省劳动保障监察条例（修改）》《浙江省职工基本养老保险条例（修改）》《浙江省失业保险条例（修改）》等法规修订。进一步加强依法行政制度建设，积极推进行政决策科学化、民主化、法治化，不断完善重大行政决策法核制度、法律顾问制度和行政应诉工作制度。强化行政争议预防和化解机制建设。健全重大行政执法决定法制审核、全过程记录、执法公示等专项制度。建立健全全省政策法规数据库。贯彻落实“八五”普法规划，坚持法制宣传与法治实践相结合，切实提高普法效果。</w:t>
      </w:r>
    </w:p>
    <w:bookmarkEnd w:id="90"/>
    <w:bookmarkEnd w:id="91"/>
    <w:bookmarkEnd w:id="92"/>
    <w:bookmarkEnd w:id="93"/>
    <w:p>
      <w:pPr>
        <w:overflowPunct w:val="0"/>
        <w:spacing w:line="565" w:lineRule="exact"/>
        <w:ind w:firstLine="640" w:firstLineChars="200"/>
        <w:rPr>
          <w:szCs w:val="32"/>
        </w:rPr>
      </w:pPr>
      <w:bookmarkStart w:id="94" w:name="_Toc78529376"/>
      <w:bookmarkStart w:id="95" w:name="_Toc2039884116"/>
      <w:bookmarkStart w:id="96" w:name="_Toc424885572"/>
      <w:bookmarkStart w:id="97" w:name="_Toc1580669148"/>
      <w:bookmarkStart w:id="98" w:name="_Toc1248010879"/>
      <w:r>
        <w:rPr>
          <w:rStyle w:val="10"/>
          <w:b w:val="0"/>
          <w:szCs w:val="32"/>
        </w:rPr>
        <w:t>（二）强化规划实施</w:t>
      </w:r>
      <w:bookmarkEnd w:id="94"/>
      <w:r>
        <w:rPr>
          <w:rFonts w:eastAsia="楷体_GB2312"/>
          <w:b/>
          <w:szCs w:val="32"/>
        </w:rPr>
        <w:t>。</w:t>
      </w:r>
      <w:r>
        <w:rPr>
          <w:kern w:val="0"/>
          <w:szCs w:val="32"/>
        </w:rPr>
        <w:t>切实加强对规划实施工作的组织领导和宏观指导，加强组织协调，加大财政投入，精心组织实施。建立完善规划实施目标责任考核机制，妥善解决工作中遇到的问题，推进规划顺利实施。</w:t>
      </w:r>
      <w:bookmarkEnd w:id="95"/>
      <w:bookmarkEnd w:id="96"/>
      <w:bookmarkEnd w:id="97"/>
      <w:bookmarkEnd w:id="98"/>
      <w:r>
        <w:rPr>
          <w:kern w:val="0"/>
          <w:szCs w:val="32"/>
        </w:rPr>
        <w:t>加强年度计划与规划的衔接，科学制订年度计划。健全监测评估机制，强化对规划实施情况的跟踪监测和情况分析，定期实施规划评估，检查规划落实情况，评价规划实施效果。</w:t>
      </w:r>
    </w:p>
    <w:p>
      <w:pPr>
        <w:overflowPunct w:val="0"/>
        <w:spacing w:line="565" w:lineRule="exact"/>
        <w:ind w:firstLine="640" w:firstLineChars="200"/>
        <w:rPr>
          <w:szCs w:val="32"/>
        </w:rPr>
      </w:pPr>
      <w:bookmarkStart w:id="99" w:name="_Toc78529378"/>
      <w:bookmarkStart w:id="100" w:name="_Toc153725568"/>
      <w:r>
        <w:rPr>
          <w:rStyle w:val="10"/>
          <w:b w:val="0"/>
          <w:szCs w:val="32"/>
        </w:rPr>
        <w:t>（三）加大宣传</w:t>
      </w:r>
      <w:bookmarkEnd w:id="99"/>
      <w:bookmarkEnd w:id="100"/>
      <w:r>
        <w:rPr>
          <w:rStyle w:val="10"/>
          <w:b w:val="0"/>
          <w:szCs w:val="32"/>
        </w:rPr>
        <w:t>力度</w:t>
      </w:r>
      <w:r>
        <w:rPr>
          <w:rFonts w:eastAsia="楷体_GB2312"/>
          <w:b/>
          <w:szCs w:val="32"/>
        </w:rPr>
        <w:t>。</w:t>
      </w:r>
      <w:r>
        <w:rPr>
          <w:kern w:val="0"/>
          <w:szCs w:val="32"/>
        </w:rPr>
        <w:t>坚持正确舆论导向，做好人力资源和社会保障政策解读，完善新闻发布机制，强化舆情管理。加大对人力资源和社会保障法律法规和政策措施的宣传力度，</w:t>
      </w:r>
      <w:r>
        <w:rPr>
          <w:szCs w:val="32"/>
        </w:rPr>
        <w:t>积极适应全媒体融合发展要求，</w:t>
      </w:r>
      <w:r>
        <w:rPr>
          <w:kern w:val="0"/>
          <w:szCs w:val="32"/>
        </w:rPr>
        <w:t>创新宣传形式，拓展宣传渠道，全方位、多角度开展宣传活动，</w:t>
      </w:r>
      <w:r>
        <w:rPr>
          <w:szCs w:val="32"/>
        </w:rPr>
        <w:t>进一步做大做强宣传阵地，</w:t>
      </w:r>
      <w:r>
        <w:rPr>
          <w:kern w:val="0"/>
          <w:szCs w:val="32"/>
        </w:rPr>
        <w:t>引导社会各界共同关心和支持人力资源和社会保障工作。</w:t>
      </w:r>
    </w:p>
    <w:p>
      <w:pPr>
        <w:overflowPunct w:val="0"/>
        <w:spacing w:line="565" w:lineRule="exact"/>
        <w:ind w:firstLine="640" w:firstLineChars="200"/>
        <w:rPr>
          <w:szCs w:val="32"/>
        </w:rPr>
      </w:pPr>
      <w:bookmarkStart w:id="101" w:name="_Toc78529379"/>
      <w:r>
        <w:rPr>
          <w:rStyle w:val="10"/>
          <w:b w:val="0"/>
          <w:szCs w:val="32"/>
        </w:rPr>
        <w:t>（四）加强队伍建设</w:t>
      </w:r>
      <w:bookmarkEnd w:id="101"/>
      <w:r>
        <w:rPr>
          <w:rFonts w:eastAsia="楷体_GB2312"/>
          <w:b/>
          <w:szCs w:val="32"/>
        </w:rPr>
        <w:t>。</w:t>
      </w:r>
      <w:r>
        <w:rPr>
          <w:szCs w:val="32"/>
        </w:rPr>
        <w:t>推动全省</w:t>
      </w:r>
      <w:r>
        <w:rPr>
          <w:kern w:val="0"/>
          <w:szCs w:val="32"/>
        </w:rPr>
        <w:t>人力资源和社会保障</w:t>
      </w:r>
      <w:r>
        <w:rPr>
          <w:szCs w:val="32"/>
        </w:rPr>
        <w:t>系统党员干部深入学习贯彻习近平新时代中国特色社会主义思想，增强“四个意识”、坚定“四个自信”、坚决做到“两个维护”。全面贯彻新时代党的组织路线，落实好干部标准。加强干部教育培养和行风建设，扎实推进清廉人社、模范机关建设。团结带领全省</w:t>
      </w:r>
      <w:r>
        <w:rPr>
          <w:kern w:val="0"/>
          <w:szCs w:val="32"/>
        </w:rPr>
        <w:t>人社</w:t>
      </w:r>
      <w:r>
        <w:rPr>
          <w:szCs w:val="32"/>
        </w:rPr>
        <w:t>干部在“忠实践行‘八八战略’、奋力打造‘重要窗口’争创社会主义现代化先行省”中树立新形象、展现新担当、干出新作为。</w:t>
      </w:r>
    </w:p>
    <w:p>
      <w:pPr>
        <w:pStyle w:val="14"/>
        <w:overflowPunct w:val="0"/>
        <w:autoSpaceDN/>
        <w:spacing w:line="565" w:lineRule="exact"/>
        <w:ind w:firstLine="640" w:firstLineChars="200"/>
        <w:jc w:val="both"/>
        <w:rPr>
          <w:rFonts w:ascii="Times New Roman" w:eastAsia="仿宋_GB2312" w:cs="Times New Roman"/>
          <w:color w:val="auto"/>
          <w:sz w:val="32"/>
          <w:szCs w:val="32"/>
        </w:rPr>
      </w:pPr>
    </w:p>
    <w:p>
      <w:pPr>
        <w:overflowPunct w:val="0"/>
        <w:spacing w:line="565" w:lineRule="exact"/>
        <w:ind w:firstLine="640" w:firstLineChars="200"/>
        <w:rPr>
          <w:rFonts w:hint="eastAsia"/>
          <w:szCs w:val="32"/>
        </w:rPr>
      </w:pPr>
      <w:r>
        <w:rPr>
          <w:szCs w:val="32"/>
        </w:rPr>
        <w:t>附件：浙江省人力资源和社会保障事业发展“十四五”重大</w:t>
      </w:r>
    </w:p>
    <w:p>
      <w:pPr>
        <w:overflowPunct w:val="0"/>
        <w:spacing w:line="565" w:lineRule="exact"/>
        <w:ind w:firstLine="640" w:firstLineChars="200"/>
        <w:rPr>
          <w:szCs w:val="32"/>
        </w:rPr>
      </w:pPr>
      <w:r>
        <w:rPr>
          <w:rFonts w:hint="eastAsia"/>
          <w:szCs w:val="32"/>
        </w:rPr>
        <w:t xml:space="preserve">      </w:t>
      </w:r>
      <w:r>
        <w:rPr>
          <w:szCs w:val="32"/>
        </w:rPr>
        <w:t>任务清单</w:t>
      </w:r>
    </w:p>
    <w:p>
      <w:pPr>
        <w:pStyle w:val="5"/>
        <w:overflowPunct w:val="0"/>
        <w:spacing w:line="590" w:lineRule="exact"/>
        <w:ind w:firstLine="0" w:firstLineChars="0"/>
        <w:rPr>
          <w:rStyle w:val="15"/>
          <w:rFonts w:ascii="Times New Roman" w:hAnsi="Times New Roman" w:eastAsia="黑体"/>
          <w:szCs w:val="32"/>
        </w:rPr>
      </w:pPr>
      <w:r>
        <w:rPr>
          <w:rFonts w:ascii="Times New Roman" w:hAnsi="Times New Roman"/>
          <w:szCs w:val="32"/>
        </w:rPr>
        <w:br w:type="page"/>
      </w:r>
      <w:r>
        <w:rPr>
          <w:rStyle w:val="15"/>
          <w:rFonts w:ascii="Times New Roman" w:hAnsi="Times New Roman" w:eastAsia="黑体"/>
          <w:szCs w:val="32"/>
        </w:rPr>
        <w:t>附件</w:t>
      </w:r>
    </w:p>
    <w:p>
      <w:pPr>
        <w:pStyle w:val="5"/>
        <w:overflowPunct w:val="0"/>
        <w:spacing w:line="590" w:lineRule="exact"/>
        <w:ind w:firstLine="640"/>
        <w:rPr>
          <w:rStyle w:val="15"/>
          <w:rFonts w:ascii="Times New Roman" w:hAnsi="Times New Roman" w:eastAsia="黑体"/>
          <w:szCs w:val="32"/>
        </w:rPr>
      </w:pPr>
    </w:p>
    <w:p>
      <w:pPr>
        <w:overflowPunct w:val="0"/>
        <w:spacing w:line="590" w:lineRule="exact"/>
        <w:jc w:val="center"/>
        <w:rPr>
          <w:rFonts w:hint="eastAsia" w:eastAsia="方正小标宋简体"/>
          <w:bCs/>
          <w:sz w:val="44"/>
          <w:szCs w:val="44"/>
        </w:rPr>
      </w:pPr>
      <w:r>
        <w:rPr>
          <w:rFonts w:eastAsia="方正小标宋简体"/>
          <w:bCs/>
          <w:sz w:val="44"/>
          <w:szCs w:val="44"/>
        </w:rPr>
        <w:t>浙江省人力资源和社会保障事业发展</w:t>
      </w:r>
    </w:p>
    <w:p>
      <w:pPr>
        <w:overflowPunct w:val="0"/>
        <w:spacing w:before="120" w:beforeLines="50" w:line="590" w:lineRule="exact"/>
        <w:jc w:val="center"/>
        <w:rPr>
          <w:rFonts w:eastAsia="方正小标宋简体"/>
          <w:bCs/>
          <w:sz w:val="44"/>
          <w:szCs w:val="44"/>
        </w:rPr>
      </w:pPr>
      <w:r>
        <w:rPr>
          <w:rFonts w:eastAsia="方正小标宋简体"/>
          <w:bCs/>
          <w:sz w:val="44"/>
          <w:szCs w:val="44"/>
        </w:rPr>
        <w:t>“十四五”重大任务清单</w:t>
      </w:r>
    </w:p>
    <w:p>
      <w:pPr>
        <w:pStyle w:val="5"/>
        <w:overflowPunct w:val="0"/>
        <w:spacing w:line="590" w:lineRule="exact"/>
        <w:ind w:firstLine="640"/>
        <w:rPr>
          <w:rStyle w:val="15"/>
          <w:rFonts w:eastAsia="黑体"/>
          <w:szCs w:val="32"/>
        </w:rPr>
      </w:pPr>
    </w:p>
    <w:tbl>
      <w:tblPr>
        <w:tblStyle w:val="9"/>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
      <w:tblGrid>
        <w:gridCol w:w="700"/>
        <w:gridCol w:w="2074"/>
        <w:gridCol w:w="60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3"/>
            <w:vAlign w:val="center"/>
          </w:tcPr>
          <w:p>
            <w:pPr>
              <w:adjustRightInd w:val="0"/>
              <w:snapToGrid w:val="0"/>
              <w:jc w:val="center"/>
              <w:rPr>
                <w:rFonts w:eastAsia="黑体"/>
                <w:sz w:val="24"/>
              </w:rPr>
            </w:pPr>
            <w:r>
              <w:rPr>
                <w:rFonts w:eastAsia="黑体"/>
                <w:sz w:val="24"/>
              </w:rPr>
              <w:t>重大改革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700" w:type="dxa"/>
            <w:vAlign w:val="center"/>
          </w:tcPr>
          <w:p>
            <w:pPr>
              <w:adjustRightInd w:val="0"/>
              <w:snapToGrid w:val="0"/>
              <w:jc w:val="center"/>
              <w:rPr>
                <w:rFonts w:ascii="黑体" w:hAnsi="黑体" w:eastAsia="黑体"/>
                <w:bCs/>
                <w:sz w:val="24"/>
              </w:rPr>
            </w:pPr>
            <w:r>
              <w:rPr>
                <w:rFonts w:ascii="黑体" w:hAnsi="黑体" w:eastAsia="黑体"/>
                <w:bCs/>
                <w:sz w:val="24"/>
              </w:rPr>
              <w:t>序号</w:t>
            </w:r>
          </w:p>
        </w:tc>
        <w:tc>
          <w:tcPr>
            <w:tcW w:w="2074" w:type="dxa"/>
            <w:vAlign w:val="center"/>
          </w:tcPr>
          <w:p>
            <w:pPr>
              <w:adjustRightInd w:val="0"/>
              <w:snapToGrid w:val="0"/>
              <w:jc w:val="center"/>
              <w:rPr>
                <w:rFonts w:ascii="黑体" w:hAnsi="黑体" w:eastAsia="黑体"/>
                <w:bCs/>
                <w:sz w:val="24"/>
              </w:rPr>
            </w:pPr>
            <w:r>
              <w:rPr>
                <w:rFonts w:ascii="黑体" w:hAnsi="黑体" w:eastAsia="黑体"/>
                <w:bCs/>
                <w:sz w:val="24"/>
              </w:rPr>
              <w:t>改革名称</w:t>
            </w:r>
          </w:p>
        </w:tc>
        <w:tc>
          <w:tcPr>
            <w:tcW w:w="6071" w:type="dxa"/>
            <w:vAlign w:val="center"/>
          </w:tcPr>
          <w:p>
            <w:pPr>
              <w:adjustRightInd w:val="0"/>
              <w:snapToGrid w:val="0"/>
              <w:jc w:val="center"/>
              <w:rPr>
                <w:rFonts w:ascii="黑体" w:hAnsi="黑体" w:eastAsia="黑体"/>
                <w:bCs/>
                <w:sz w:val="24"/>
              </w:rPr>
            </w:pPr>
            <w:r>
              <w:rPr>
                <w:rFonts w:ascii="黑体" w:hAnsi="黑体" w:eastAsia="黑体"/>
                <w:bCs/>
                <w:sz w:val="24"/>
              </w:rPr>
              <w:t>改</w:t>
            </w:r>
            <w:r>
              <w:rPr>
                <w:rFonts w:hint="eastAsia" w:ascii="黑体" w:hAnsi="黑体" w:eastAsia="黑体"/>
                <w:bCs/>
                <w:sz w:val="24"/>
              </w:rPr>
              <w:t xml:space="preserve">  </w:t>
            </w:r>
            <w:r>
              <w:rPr>
                <w:rFonts w:ascii="黑体" w:hAnsi="黑体" w:eastAsia="黑体"/>
                <w:bCs/>
                <w:sz w:val="24"/>
              </w:rPr>
              <w:t>革</w:t>
            </w:r>
            <w:r>
              <w:rPr>
                <w:rFonts w:hint="eastAsia" w:ascii="黑体" w:hAnsi="黑体" w:eastAsia="黑体"/>
                <w:bCs/>
                <w:sz w:val="24"/>
              </w:rPr>
              <w:t xml:space="preserve">  </w:t>
            </w:r>
            <w:r>
              <w:rPr>
                <w:rFonts w:ascii="黑体" w:hAnsi="黑体" w:eastAsia="黑体"/>
                <w:bCs/>
                <w:sz w:val="24"/>
              </w:rPr>
              <w:t>内</w:t>
            </w:r>
            <w:r>
              <w:rPr>
                <w:rFonts w:hint="eastAsia" w:ascii="黑体" w:hAnsi="黑体" w:eastAsia="黑体"/>
                <w:bCs/>
                <w:sz w:val="24"/>
              </w:rPr>
              <w:t xml:space="preserve">  </w:t>
            </w:r>
            <w:r>
              <w:rPr>
                <w:rFonts w:ascii="黑体" w:hAnsi="黑体" w:eastAsia="黑体"/>
                <w:bCs/>
                <w:sz w:val="24"/>
              </w:rPr>
              <w:t>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151" w:hRule="atLeast"/>
          <w:jc w:val="center"/>
        </w:trPr>
        <w:tc>
          <w:tcPr>
            <w:tcW w:w="700" w:type="dxa"/>
            <w:vAlign w:val="center"/>
          </w:tcPr>
          <w:p>
            <w:pPr>
              <w:adjustRightInd w:val="0"/>
              <w:snapToGrid w:val="0"/>
              <w:jc w:val="center"/>
              <w:rPr>
                <w:sz w:val="24"/>
              </w:rPr>
            </w:pPr>
            <w:r>
              <w:rPr>
                <w:sz w:val="24"/>
              </w:rPr>
              <w:t>1</w:t>
            </w:r>
          </w:p>
        </w:tc>
        <w:tc>
          <w:tcPr>
            <w:tcW w:w="2074" w:type="dxa"/>
            <w:vAlign w:val="center"/>
          </w:tcPr>
          <w:p>
            <w:pPr>
              <w:adjustRightInd w:val="0"/>
              <w:snapToGrid w:val="0"/>
              <w:jc w:val="center"/>
              <w:rPr>
                <w:sz w:val="24"/>
              </w:rPr>
            </w:pPr>
            <w:r>
              <w:rPr>
                <w:sz w:val="24"/>
              </w:rPr>
              <w:t>人社数字化改革</w:t>
            </w:r>
          </w:p>
        </w:tc>
        <w:tc>
          <w:tcPr>
            <w:tcW w:w="6071" w:type="dxa"/>
            <w:vAlign w:val="center"/>
          </w:tcPr>
          <w:p>
            <w:pPr>
              <w:adjustRightInd w:val="0"/>
              <w:snapToGrid w:val="0"/>
              <w:rPr>
                <w:sz w:val="24"/>
              </w:rPr>
            </w:pPr>
            <w:r>
              <w:rPr>
                <w:sz w:val="24"/>
              </w:rPr>
              <w:t>政务运行数字化改革，协同治理数字化改革，政务服务数字化改革，监督管理数字化改革，决策指挥数字化改革，体制机制数字化改革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3"/>
            <w:vAlign w:val="center"/>
          </w:tcPr>
          <w:p>
            <w:pPr>
              <w:adjustRightInd w:val="0"/>
              <w:snapToGrid w:val="0"/>
              <w:jc w:val="center"/>
              <w:rPr>
                <w:rFonts w:eastAsia="黑体"/>
                <w:sz w:val="24"/>
              </w:rPr>
            </w:pPr>
            <w:r>
              <w:rPr>
                <w:rFonts w:eastAsia="黑体"/>
                <w:sz w:val="24"/>
              </w:rPr>
              <w:t>人才培育工程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700" w:type="dxa"/>
            <w:vAlign w:val="center"/>
          </w:tcPr>
          <w:p>
            <w:pPr>
              <w:adjustRightInd w:val="0"/>
              <w:snapToGrid w:val="0"/>
              <w:jc w:val="center"/>
              <w:rPr>
                <w:rFonts w:ascii="黑体" w:hAnsi="黑体" w:eastAsia="黑体"/>
                <w:bCs/>
                <w:sz w:val="24"/>
              </w:rPr>
            </w:pPr>
            <w:r>
              <w:rPr>
                <w:rFonts w:ascii="黑体" w:hAnsi="黑体" w:eastAsia="黑体"/>
                <w:bCs/>
                <w:sz w:val="24"/>
              </w:rPr>
              <w:t>序号</w:t>
            </w:r>
          </w:p>
        </w:tc>
        <w:tc>
          <w:tcPr>
            <w:tcW w:w="2074" w:type="dxa"/>
            <w:vAlign w:val="center"/>
          </w:tcPr>
          <w:p>
            <w:pPr>
              <w:adjustRightInd w:val="0"/>
              <w:snapToGrid w:val="0"/>
              <w:jc w:val="center"/>
              <w:rPr>
                <w:rFonts w:ascii="黑体" w:hAnsi="黑体" w:eastAsia="黑体"/>
                <w:bCs/>
                <w:sz w:val="24"/>
              </w:rPr>
            </w:pPr>
            <w:r>
              <w:rPr>
                <w:rFonts w:ascii="黑体" w:hAnsi="黑体" w:eastAsia="黑体"/>
                <w:bCs/>
                <w:sz w:val="24"/>
              </w:rPr>
              <w:t>工程名称</w:t>
            </w:r>
          </w:p>
        </w:tc>
        <w:tc>
          <w:tcPr>
            <w:tcW w:w="6071" w:type="dxa"/>
            <w:vAlign w:val="center"/>
          </w:tcPr>
          <w:p>
            <w:pPr>
              <w:adjustRightInd w:val="0"/>
              <w:snapToGrid w:val="0"/>
              <w:jc w:val="center"/>
              <w:rPr>
                <w:rFonts w:ascii="黑体" w:hAnsi="黑体" w:eastAsia="黑体"/>
                <w:bCs/>
                <w:sz w:val="24"/>
              </w:rPr>
            </w:pPr>
            <w:r>
              <w:rPr>
                <w:rFonts w:ascii="黑体" w:hAnsi="黑体" w:eastAsia="黑体"/>
                <w:bCs/>
                <w:sz w:val="24"/>
              </w:rPr>
              <w:t>工</w:t>
            </w:r>
            <w:r>
              <w:rPr>
                <w:rFonts w:hint="eastAsia" w:ascii="黑体" w:hAnsi="黑体" w:eastAsia="黑体"/>
                <w:bCs/>
                <w:sz w:val="24"/>
              </w:rPr>
              <w:t xml:space="preserve">  </w:t>
            </w:r>
            <w:r>
              <w:rPr>
                <w:rFonts w:ascii="黑体" w:hAnsi="黑体" w:eastAsia="黑体"/>
                <w:bCs/>
                <w:sz w:val="24"/>
              </w:rPr>
              <w:t>程</w:t>
            </w:r>
            <w:r>
              <w:rPr>
                <w:rFonts w:hint="eastAsia" w:ascii="黑体" w:hAnsi="黑体" w:eastAsia="黑体"/>
                <w:bCs/>
                <w:sz w:val="24"/>
              </w:rPr>
              <w:t xml:space="preserve">  </w:t>
            </w:r>
            <w:r>
              <w:rPr>
                <w:rFonts w:ascii="黑体" w:hAnsi="黑体" w:eastAsia="黑体"/>
                <w:bCs/>
                <w:sz w:val="24"/>
              </w:rPr>
              <w:t>内</w:t>
            </w:r>
            <w:r>
              <w:rPr>
                <w:rFonts w:hint="eastAsia" w:ascii="黑体" w:hAnsi="黑体" w:eastAsia="黑体"/>
                <w:bCs/>
                <w:sz w:val="24"/>
              </w:rPr>
              <w:t xml:space="preserve">  </w:t>
            </w:r>
            <w:r>
              <w:rPr>
                <w:rFonts w:ascii="黑体" w:hAnsi="黑体" w:eastAsia="黑体"/>
                <w:bCs/>
                <w:sz w:val="24"/>
              </w:rPr>
              <w:t>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51" w:hRule="atLeast"/>
          <w:jc w:val="center"/>
        </w:trPr>
        <w:tc>
          <w:tcPr>
            <w:tcW w:w="700" w:type="dxa"/>
            <w:vAlign w:val="center"/>
          </w:tcPr>
          <w:p>
            <w:pPr>
              <w:adjustRightInd w:val="0"/>
              <w:snapToGrid w:val="0"/>
              <w:jc w:val="center"/>
              <w:rPr>
                <w:sz w:val="24"/>
              </w:rPr>
            </w:pPr>
            <w:r>
              <w:rPr>
                <w:sz w:val="24"/>
              </w:rPr>
              <w:t>2</w:t>
            </w:r>
          </w:p>
        </w:tc>
        <w:tc>
          <w:tcPr>
            <w:tcW w:w="2074" w:type="dxa"/>
            <w:vAlign w:val="center"/>
          </w:tcPr>
          <w:p>
            <w:pPr>
              <w:adjustRightInd w:val="0"/>
              <w:snapToGrid w:val="0"/>
              <w:jc w:val="center"/>
              <w:rPr>
                <w:sz w:val="24"/>
              </w:rPr>
            </w:pPr>
            <w:r>
              <w:rPr>
                <w:sz w:val="24"/>
              </w:rPr>
              <w:t>技能人才</w:t>
            </w:r>
          </w:p>
          <w:p>
            <w:pPr>
              <w:adjustRightInd w:val="0"/>
              <w:snapToGrid w:val="0"/>
              <w:jc w:val="center"/>
              <w:rPr>
                <w:sz w:val="24"/>
              </w:rPr>
            </w:pPr>
            <w:r>
              <w:rPr>
                <w:sz w:val="24"/>
              </w:rPr>
              <w:t>培育工程</w:t>
            </w:r>
          </w:p>
        </w:tc>
        <w:tc>
          <w:tcPr>
            <w:tcW w:w="6071" w:type="dxa"/>
            <w:vAlign w:val="center"/>
          </w:tcPr>
          <w:p>
            <w:pPr>
              <w:adjustRightInd w:val="0"/>
              <w:snapToGrid w:val="0"/>
              <w:rPr>
                <w:sz w:val="24"/>
              </w:rPr>
            </w:pPr>
            <w:r>
              <w:rPr>
                <w:sz w:val="24"/>
              </w:rPr>
              <w:t>新时代工匠遴选培育计划，国家高技能人才振兴计划，竞赛行动计划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51" w:hRule="atLeast"/>
          <w:jc w:val="center"/>
        </w:trPr>
        <w:tc>
          <w:tcPr>
            <w:tcW w:w="700" w:type="dxa"/>
            <w:vAlign w:val="center"/>
          </w:tcPr>
          <w:p>
            <w:pPr>
              <w:adjustRightInd w:val="0"/>
              <w:snapToGrid w:val="0"/>
              <w:jc w:val="center"/>
              <w:rPr>
                <w:sz w:val="24"/>
              </w:rPr>
            </w:pPr>
            <w:r>
              <w:rPr>
                <w:sz w:val="24"/>
              </w:rPr>
              <w:t>3</w:t>
            </w:r>
          </w:p>
        </w:tc>
        <w:tc>
          <w:tcPr>
            <w:tcW w:w="2074" w:type="dxa"/>
            <w:vAlign w:val="center"/>
          </w:tcPr>
          <w:p>
            <w:pPr>
              <w:adjustRightInd w:val="0"/>
              <w:snapToGrid w:val="0"/>
              <w:jc w:val="center"/>
              <w:rPr>
                <w:sz w:val="24"/>
              </w:rPr>
            </w:pPr>
            <w:r>
              <w:rPr>
                <w:sz w:val="24"/>
              </w:rPr>
              <w:t>专业技术人才</w:t>
            </w:r>
          </w:p>
          <w:p>
            <w:pPr>
              <w:adjustRightInd w:val="0"/>
              <w:snapToGrid w:val="0"/>
              <w:jc w:val="center"/>
              <w:rPr>
                <w:sz w:val="24"/>
              </w:rPr>
            </w:pPr>
            <w:r>
              <w:rPr>
                <w:sz w:val="24"/>
              </w:rPr>
              <w:t>培育工程</w:t>
            </w:r>
          </w:p>
        </w:tc>
        <w:tc>
          <w:tcPr>
            <w:tcW w:w="6071" w:type="dxa"/>
            <w:vAlign w:val="center"/>
          </w:tcPr>
          <w:p>
            <w:pPr>
              <w:adjustRightInd w:val="0"/>
              <w:snapToGrid w:val="0"/>
              <w:rPr>
                <w:sz w:val="24"/>
              </w:rPr>
            </w:pPr>
            <w:r>
              <w:rPr>
                <w:sz w:val="24"/>
              </w:rPr>
              <w:t>省“万人计划”青年拔尖人才资助项目，博士后科研项目择优资助计划，专业技术人才知识更新工程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3"/>
            <w:vAlign w:val="center"/>
          </w:tcPr>
          <w:p>
            <w:pPr>
              <w:adjustRightInd w:val="0"/>
              <w:snapToGrid w:val="0"/>
              <w:jc w:val="center"/>
              <w:rPr>
                <w:rFonts w:eastAsia="黑体"/>
                <w:sz w:val="24"/>
              </w:rPr>
            </w:pPr>
            <w:r>
              <w:rPr>
                <w:rFonts w:eastAsia="黑体"/>
                <w:sz w:val="24"/>
              </w:rPr>
              <w:t>高质量发展组合拳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700" w:type="dxa"/>
            <w:vAlign w:val="center"/>
          </w:tcPr>
          <w:p>
            <w:pPr>
              <w:adjustRightInd w:val="0"/>
              <w:snapToGrid w:val="0"/>
              <w:jc w:val="center"/>
              <w:rPr>
                <w:rFonts w:ascii="黑体" w:hAnsi="黑体" w:eastAsia="黑体"/>
                <w:bCs/>
                <w:sz w:val="24"/>
              </w:rPr>
            </w:pPr>
            <w:r>
              <w:rPr>
                <w:rFonts w:ascii="黑体" w:hAnsi="黑体" w:eastAsia="黑体"/>
                <w:bCs/>
                <w:sz w:val="24"/>
              </w:rPr>
              <w:t>序号</w:t>
            </w:r>
          </w:p>
        </w:tc>
        <w:tc>
          <w:tcPr>
            <w:tcW w:w="2074" w:type="dxa"/>
            <w:vAlign w:val="center"/>
          </w:tcPr>
          <w:p>
            <w:pPr>
              <w:adjustRightInd w:val="0"/>
              <w:snapToGrid w:val="0"/>
              <w:jc w:val="center"/>
              <w:rPr>
                <w:rFonts w:ascii="黑体" w:hAnsi="黑体" w:eastAsia="黑体"/>
                <w:bCs/>
                <w:sz w:val="24"/>
              </w:rPr>
            </w:pPr>
            <w:r>
              <w:rPr>
                <w:rFonts w:ascii="黑体" w:hAnsi="黑体" w:eastAsia="黑体"/>
                <w:bCs/>
                <w:sz w:val="24"/>
              </w:rPr>
              <w:t>组合拳名称</w:t>
            </w:r>
          </w:p>
        </w:tc>
        <w:tc>
          <w:tcPr>
            <w:tcW w:w="6071" w:type="dxa"/>
            <w:vAlign w:val="center"/>
          </w:tcPr>
          <w:p>
            <w:pPr>
              <w:adjustRightInd w:val="0"/>
              <w:snapToGrid w:val="0"/>
              <w:jc w:val="center"/>
              <w:rPr>
                <w:rFonts w:ascii="黑体" w:hAnsi="黑体" w:eastAsia="黑体"/>
                <w:bCs/>
                <w:sz w:val="24"/>
              </w:rPr>
            </w:pPr>
            <w:r>
              <w:rPr>
                <w:rFonts w:ascii="黑体" w:hAnsi="黑体" w:eastAsia="黑体"/>
                <w:bCs/>
                <w:sz w:val="24"/>
              </w:rPr>
              <w:t>组</w:t>
            </w:r>
            <w:r>
              <w:rPr>
                <w:rFonts w:hint="eastAsia" w:ascii="黑体" w:hAnsi="黑体" w:eastAsia="黑体"/>
                <w:bCs/>
                <w:sz w:val="24"/>
              </w:rPr>
              <w:t xml:space="preserve"> </w:t>
            </w:r>
            <w:r>
              <w:rPr>
                <w:rFonts w:ascii="黑体" w:hAnsi="黑体" w:eastAsia="黑体"/>
                <w:bCs/>
                <w:sz w:val="24"/>
              </w:rPr>
              <w:t>合</w:t>
            </w:r>
            <w:r>
              <w:rPr>
                <w:rFonts w:hint="eastAsia" w:ascii="黑体" w:hAnsi="黑体" w:eastAsia="黑体"/>
                <w:bCs/>
                <w:sz w:val="24"/>
              </w:rPr>
              <w:t xml:space="preserve"> </w:t>
            </w:r>
            <w:r>
              <w:rPr>
                <w:rFonts w:ascii="黑体" w:hAnsi="黑体" w:eastAsia="黑体"/>
                <w:bCs/>
                <w:sz w:val="24"/>
              </w:rPr>
              <w:t>拳</w:t>
            </w:r>
            <w:r>
              <w:rPr>
                <w:rFonts w:hint="eastAsia" w:ascii="黑体" w:hAnsi="黑体" w:eastAsia="黑体"/>
                <w:bCs/>
                <w:sz w:val="24"/>
              </w:rPr>
              <w:t xml:space="preserve"> </w:t>
            </w:r>
            <w:r>
              <w:rPr>
                <w:rFonts w:ascii="黑体" w:hAnsi="黑体" w:eastAsia="黑体"/>
                <w:bCs/>
                <w:sz w:val="24"/>
              </w:rPr>
              <w:t>内</w:t>
            </w:r>
            <w:r>
              <w:rPr>
                <w:rFonts w:hint="eastAsia" w:ascii="黑体" w:hAnsi="黑体" w:eastAsia="黑体"/>
                <w:bCs/>
                <w:sz w:val="24"/>
              </w:rPr>
              <w:t xml:space="preserve"> </w:t>
            </w:r>
            <w:r>
              <w:rPr>
                <w:rFonts w:ascii="黑体" w:hAnsi="黑体" w:eastAsia="黑体"/>
                <w:bCs/>
                <w:sz w:val="24"/>
              </w:rPr>
              <w:t>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51" w:hRule="atLeast"/>
          <w:jc w:val="center"/>
        </w:trPr>
        <w:tc>
          <w:tcPr>
            <w:tcW w:w="700" w:type="dxa"/>
            <w:vAlign w:val="center"/>
          </w:tcPr>
          <w:p>
            <w:pPr>
              <w:adjustRightInd w:val="0"/>
              <w:snapToGrid w:val="0"/>
              <w:jc w:val="center"/>
              <w:rPr>
                <w:sz w:val="24"/>
              </w:rPr>
            </w:pPr>
            <w:r>
              <w:rPr>
                <w:sz w:val="24"/>
              </w:rPr>
              <w:t>4</w:t>
            </w:r>
          </w:p>
        </w:tc>
        <w:tc>
          <w:tcPr>
            <w:tcW w:w="2074" w:type="dxa"/>
            <w:vAlign w:val="center"/>
          </w:tcPr>
          <w:p>
            <w:pPr>
              <w:adjustRightInd w:val="0"/>
              <w:snapToGrid w:val="0"/>
              <w:jc w:val="center"/>
              <w:rPr>
                <w:sz w:val="24"/>
              </w:rPr>
            </w:pPr>
            <w:r>
              <w:rPr>
                <w:sz w:val="24"/>
              </w:rPr>
              <w:t>技工院校</w:t>
            </w:r>
          </w:p>
          <w:p>
            <w:pPr>
              <w:adjustRightInd w:val="0"/>
              <w:snapToGrid w:val="0"/>
              <w:jc w:val="center"/>
              <w:rPr>
                <w:sz w:val="24"/>
              </w:rPr>
            </w:pPr>
            <w:r>
              <w:rPr>
                <w:sz w:val="24"/>
              </w:rPr>
              <w:t>高质量发展组合拳</w:t>
            </w:r>
          </w:p>
        </w:tc>
        <w:tc>
          <w:tcPr>
            <w:tcW w:w="6071" w:type="dxa"/>
            <w:vAlign w:val="center"/>
          </w:tcPr>
          <w:p>
            <w:pPr>
              <w:adjustRightInd w:val="0"/>
              <w:snapToGrid w:val="0"/>
              <w:rPr>
                <w:sz w:val="24"/>
              </w:rPr>
            </w:pPr>
            <w:r>
              <w:rPr>
                <w:sz w:val="24"/>
              </w:rPr>
              <w:t>技师学院建设项目，重点技工学校建设项目，技工院校新建项目，高水平专业群建设项目，师资培训基地建设项目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51" w:hRule="atLeast"/>
          <w:jc w:val="center"/>
        </w:trPr>
        <w:tc>
          <w:tcPr>
            <w:tcW w:w="700" w:type="dxa"/>
            <w:vAlign w:val="center"/>
          </w:tcPr>
          <w:p>
            <w:pPr>
              <w:adjustRightInd w:val="0"/>
              <w:snapToGrid w:val="0"/>
              <w:jc w:val="center"/>
              <w:rPr>
                <w:sz w:val="24"/>
              </w:rPr>
            </w:pPr>
            <w:r>
              <w:rPr>
                <w:sz w:val="24"/>
              </w:rPr>
              <w:t>5</w:t>
            </w:r>
          </w:p>
        </w:tc>
        <w:tc>
          <w:tcPr>
            <w:tcW w:w="2074" w:type="dxa"/>
            <w:vAlign w:val="center"/>
          </w:tcPr>
          <w:p>
            <w:pPr>
              <w:adjustRightInd w:val="0"/>
              <w:snapToGrid w:val="0"/>
              <w:jc w:val="center"/>
              <w:rPr>
                <w:sz w:val="24"/>
              </w:rPr>
            </w:pPr>
            <w:r>
              <w:rPr>
                <w:sz w:val="24"/>
              </w:rPr>
              <w:t>人力资源服务业</w:t>
            </w:r>
          </w:p>
          <w:p>
            <w:pPr>
              <w:adjustRightInd w:val="0"/>
              <w:snapToGrid w:val="0"/>
              <w:jc w:val="center"/>
              <w:rPr>
                <w:sz w:val="24"/>
              </w:rPr>
            </w:pPr>
            <w:r>
              <w:rPr>
                <w:sz w:val="24"/>
              </w:rPr>
              <w:t>高质量发展组合拳</w:t>
            </w:r>
          </w:p>
        </w:tc>
        <w:tc>
          <w:tcPr>
            <w:tcW w:w="6071" w:type="dxa"/>
            <w:vAlign w:val="center"/>
          </w:tcPr>
          <w:p>
            <w:pPr>
              <w:adjustRightInd w:val="0"/>
              <w:snapToGrid w:val="0"/>
              <w:rPr>
                <w:sz w:val="24"/>
              </w:rPr>
            </w:pPr>
            <w:r>
              <w:rPr>
                <w:sz w:val="24"/>
              </w:rPr>
              <w:t>重点企业培育计划，行业人才培养计划，产业园区建设计划，企业品牌建设计划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51" w:hRule="atLeast"/>
          <w:jc w:val="center"/>
        </w:trPr>
        <w:tc>
          <w:tcPr>
            <w:tcW w:w="700" w:type="dxa"/>
            <w:vAlign w:val="center"/>
          </w:tcPr>
          <w:p>
            <w:pPr>
              <w:adjustRightInd w:val="0"/>
              <w:snapToGrid w:val="0"/>
              <w:jc w:val="center"/>
              <w:rPr>
                <w:sz w:val="24"/>
              </w:rPr>
            </w:pPr>
            <w:r>
              <w:rPr>
                <w:sz w:val="24"/>
              </w:rPr>
              <w:t>6</w:t>
            </w:r>
          </w:p>
        </w:tc>
        <w:tc>
          <w:tcPr>
            <w:tcW w:w="2074" w:type="dxa"/>
            <w:vAlign w:val="center"/>
          </w:tcPr>
          <w:p>
            <w:pPr>
              <w:adjustRightInd w:val="0"/>
              <w:snapToGrid w:val="0"/>
              <w:jc w:val="center"/>
              <w:rPr>
                <w:sz w:val="24"/>
              </w:rPr>
            </w:pPr>
            <w:r>
              <w:rPr>
                <w:sz w:val="24"/>
              </w:rPr>
              <w:t>助力“乡村振兴”</w:t>
            </w:r>
          </w:p>
          <w:p>
            <w:pPr>
              <w:adjustRightInd w:val="0"/>
              <w:snapToGrid w:val="0"/>
              <w:jc w:val="center"/>
              <w:rPr>
                <w:sz w:val="24"/>
              </w:rPr>
            </w:pPr>
            <w:r>
              <w:rPr>
                <w:sz w:val="24"/>
              </w:rPr>
              <w:t>组合拳</w:t>
            </w:r>
          </w:p>
        </w:tc>
        <w:tc>
          <w:tcPr>
            <w:tcW w:w="6071" w:type="dxa"/>
            <w:vAlign w:val="center"/>
          </w:tcPr>
          <w:p>
            <w:pPr>
              <w:adjustRightInd w:val="0"/>
              <w:snapToGrid w:val="0"/>
              <w:rPr>
                <w:sz w:val="24"/>
              </w:rPr>
            </w:pPr>
            <w:r>
              <w:rPr>
                <w:sz w:val="24"/>
              </w:rPr>
              <w:t>促进乡村高质量就业创业，强化乡村振兴人才支撑，提升乡村社会保障水平，维护农民工劳动保障权益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8845" w:type="dxa"/>
            <w:gridSpan w:val="3"/>
            <w:vAlign w:val="center"/>
          </w:tcPr>
          <w:p>
            <w:pPr>
              <w:adjustRightInd w:val="0"/>
              <w:snapToGrid w:val="0"/>
              <w:jc w:val="center"/>
              <w:rPr>
                <w:rFonts w:eastAsia="黑体"/>
                <w:sz w:val="24"/>
              </w:rPr>
            </w:pPr>
            <w:r>
              <w:rPr>
                <w:rFonts w:eastAsia="黑体"/>
                <w:sz w:val="24"/>
              </w:rPr>
              <w:t>共同富裕专项行动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700" w:type="dxa"/>
            <w:vAlign w:val="center"/>
          </w:tcPr>
          <w:p>
            <w:pPr>
              <w:adjustRightInd w:val="0"/>
              <w:snapToGrid w:val="0"/>
              <w:jc w:val="center"/>
              <w:rPr>
                <w:rFonts w:ascii="黑体" w:hAnsi="黑体" w:eastAsia="黑体"/>
                <w:bCs/>
                <w:sz w:val="24"/>
              </w:rPr>
            </w:pPr>
            <w:r>
              <w:rPr>
                <w:rFonts w:ascii="黑体" w:hAnsi="黑体" w:eastAsia="黑体"/>
                <w:bCs/>
                <w:sz w:val="24"/>
              </w:rPr>
              <w:t>序号</w:t>
            </w:r>
          </w:p>
        </w:tc>
        <w:tc>
          <w:tcPr>
            <w:tcW w:w="2074" w:type="dxa"/>
            <w:vAlign w:val="center"/>
          </w:tcPr>
          <w:p>
            <w:pPr>
              <w:adjustRightInd w:val="0"/>
              <w:snapToGrid w:val="0"/>
              <w:jc w:val="center"/>
              <w:rPr>
                <w:rFonts w:ascii="黑体" w:hAnsi="黑体" w:eastAsia="黑体"/>
                <w:bCs/>
                <w:sz w:val="24"/>
              </w:rPr>
            </w:pPr>
            <w:r>
              <w:rPr>
                <w:rFonts w:ascii="黑体" w:hAnsi="黑体" w:eastAsia="黑体"/>
                <w:bCs/>
                <w:sz w:val="24"/>
              </w:rPr>
              <w:t>专项行动名称</w:t>
            </w:r>
          </w:p>
        </w:tc>
        <w:tc>
          <w:tcPr>
            <w:tcW w:w="6071" w:type="dxa"/>
            <w:vAlign w:val="center"/>
          </w:tcPr>
          <w:p>
            <w:pPr>
              <w:adjustRightInd w:val="0"/>
              <w:snapToGrid w:val="0"/>
              <w:jc w:val="center"/>
              <w:rPr>
                <w:rFonts w:ascii="黑体" w:hAnsi="黑体" w:eastAsia="黑体"/>
                <w:bCs/>
                <w:sz w:val="24"/>
              </w:rPr>
            </w:pPr>
            <w:r>
              <w:rPr>
                <w:rFonts w:ascii="黑体" w:hAnsi="黑体" w:eastAsia="黑体"/>
                <w:bCs/>
                <w:sz w:val="24"/>
              </w:rPr>
              <w:t>专</w:t>
            </w:r>
            <w:r>
              <w:rPr>
                <w:rFonts w:hint="eastAsia" w:ascii="黑体" w:hAnsi="黑体" w:eastAsia="黑体"/>
                <w:bCs/>
                <w:sz w:val="24"/>
              </w:rPr>
              <w:t xml:space="preserve"> </w:t>
            </w:r>
            <w:r>
              <w:rPr>
                <w:rFonts w:ascii="黑体" w:hAnsi="黑体" w:eastAsia="黑体"/>
                <w:bCs/>
                <w:sz w:val="24"/>
              </w:rPr>
              <w:t>项</w:t>
            </w:r>
            <w:r>
              <w:rPr>
                <w:rFonts w:hint="eastAsia" w:ascii="黑体" w:hAnsi="黑体" w:eastAsia="黑体"/>
                <w:bCs/>
                <w:sz w:val="24"/>
              </w:rPr>
              <w:t xml:space="preserve"> </w:t>
            </w:r>
            <w:r>
              <w:rPr>
                <w:rFonts w:ascii="黑体" w:hAnsi="黑体" w:eastAsia="黑体"/>
                <w:bCs/>
                <w:sz w:val="24"/>
              </w:rPr>
              <w:t>行</w:t>
            </w:r>
            <w:r>
              <w:rPr>
                <w:rFonts w:hint="eastAsia" w:ascii="黑体" w:hAnsi="黑体" w:eastAsia="黑体"/>
                <w:bCs/>
                <w:sz w:val="24"/>
              </w:rPr>
              <w:t xml:space="preserve"> </w:t>
            </w:r>
            <w:r>
              <w:rPr>
                <w:rFonts w:ascii="黑体" w:hAnsi="黑体" w:eastAsia="黑体"/>
                <w:bCs/>
                <w:sz w:val="24"/>
              </w:rPr>
              <w:t>动</w:t>
            </w:r>
            <w:r>
              <w:rPr>
                <w:rFonts w:hint="eastAsia" w:ascii="黑体" w:hAnsi="黑体" w:eastAsia="黑体"/>
                <w:bCs/>
                <w:sz w:val="24"/>
              </w:rPr>
              <w:t xml:space="preserve"> </w:t>
            </w:r>
            <w:r>
              <w:rPr>
                <w:rFonts w:ascii="黑体" w:hAnsi="黑体" w:eastAsia="黑体"/>
                <w:bCs/>
                <w:sz w:val="24"/>
              </w:rPr>
              <w:t>内</w:t>
            </w:r>
            <w:r>
              <w:rPr>
                <w:rFonts w:hint="eastAsia" w:ascii="黑体" w:hAnsi="黑体" w:eastAsia="黑体"/>
                <w:bCs/>
                <w:sz w:val="24"/>
              </w:rPr>
              <w:t xml:space="preserve"> </w:t>
            </w:r>
            <w:r>
              <w:rPr>
                <w:rFonts w:ascii="黑体" w:hAnsi="黑体" w:eastAsia="黑体"/>
                <w:bCs/>
                <w:sz w:val="24"/>
              </w:rPr>
              <w:t>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700" w:type="dxa"/>
            <w:vAlign w:val="center"/>
          </w:tcPr>
          <w:p>
            <w:pPr>
              <w:adjustRightInd w:val="0"/>
              <w:snapToGrid w:val="0"/>
              <w:jc w:val="center"/>
              <w:rPr>
                <w:sz w:val="24"/>
              </w:rPr>
            </w:pPr>
            <w:r>
              <w:rPr>
                <w:sz w:val="24"/>
              </w:rPr>
              <w:t>7</w:t>
            </w:r>
          </w:p>
        </w:tc>
        <w:tc>
          <w:tcPr>
            <w:tcW w:w="2074" w:type="dxa"/>
            <w:vAlign w:val="center"/>
          </w:tcPr>
          <w:p>
            <w:pPr>
              <w:adjustRightInd w:val="0"/>
              <w:snapToGrid w:val="0"/>
              <w:jc w:val="center"/>
              <w:rPr>
                <w:sz w:val="24"/>
              </w:rPr>
            </w:pPr>
            <w:r>
              <w:rPr>
                <w:sz w:val="24"/>
              </w:rPr>
              <w:t>高质量就业</w:t>
            </w:r>
          </w:p>
          <w:p>
            <w:pPr>
              <w:adjustRightInd w:val="0"/>
              <w:snapToGrid w:val="0"/>
              <w:jc w:val="center"/>
              <w:rPr>
                <w:sz w:val="24"/>
              </w:rPr>
            </w:pPr>
            <w:r>
              <w:rPr>
                <w:sz w:val="24"/>
              </w:rPr>
              <w:t>专项行动</w:t>
            </w:r>
          </w:p>
        </w:tc>
        <w:tc>
          <w:tcPr>
            <w:tcW w:w="6071" w:type="dxa"/>
            <w:vAlign w:val="center"/>
          </w:tcPr>
          <w:p>
            <w:pPr>
              <w:adjustRightInd w:val="0"/>
              <w:snapToGrid w:val="0"/>
              <w:rPr>
                <w:sz w:val="24"/>
              </w:rPr>
            </w:pPr>
            <w:r>
              <w:rPr>
                <w:sz w:val="24"/>
              </w:rPr>
              <w:t>高校毕业生就业创业促进计划，就业困难人员精准帮扶计划，多渠道灵活就业支持计划，促进大众创业项目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700" w:type="dxa"/>
            <w:vAlign w:val="center"/>
          </w:tcPr>
          <w:p>
            <w:pPr>
              <w:adjustRightInd w:val="0"/>
              <w:snapToGrid w:val="0"/>
              <w:jc w:val="center"/>
              <w:rPr>
                <w:sz w:val="24"/>
              </w:rPr>
            </w:pPr>
            <w:r>
              <w:rPr>
                <w:sz w:val="24"/>
              </w:rPr>
              <w:t>8</w:t>
            </w:r>
          </w:p>
        </w:tc>
        <w:tc>
          <w:tcPr>
            <w:tcW w:w="2074" w:type="dxa"/>
            <w:vAlign w:val="center"/>
          </w:tcPr>
          <w:p>
            <w:pPr>
              <w:adjustRightInd w:val="0"/>
              <w:snapToGrid w:val="0"/>
              <w:jc w:val="center"/>
              <w:rPr>
                <w:sz w:val="24"/>
              </w:rPr>
            </w:pPr>
            <w:r>
              <w:rPr>
                <w:sz w:val="24"/>
              </w:rPr>
              <w:t>社会保障高质量可持续发展专项行动</w:t>
            </w:r>
          </w:p>
        </w:tc>
        <w:tc>
          <w:tcPr>
            <w:tcW w:w="6071" w:type="dxa"/>
            <w:vAlign w:val="center"/>
          </w:tcPr>
          <w:p>
            <w:pPr>
              <w:adjustRightInd w:val="0"/>
              <w:snapToGrid w:val="0"/>
              <w:rPr>
                <w:sz w:val="24"/>
              </w:rPr>
            </w:pPr>
            <w:r>
              <w:rPr>
                <w:sz w:val="24"/>
              </w:rPr>
              <w:t>实施省级统筹、推动全民覆盖、推动提标提质、推进治理法治化、推进服务数字化、着力防范风险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700" w:type="dxa"/>
            <w:vAlign w:val="center"/>
          </w:tcPr>
          <w:p>
            <w:pPr>
              <w:adjustRightInd w:val="0"/>
              <w:snapToGrid w:val="0"/>
              <w:jc w:val="center"/>
              <w:rPr>
                <w:sz w:val="24"/>
              </w:rPr>
            </w:pPr>
            <w:r>
              <w:rPr>
                <w:sz w:val="24"/>
              </w:rPr>
              <w:t>9</w:t>
            </w:r>
          </w:p>
        </w:tc>
        <w:tc>
          <w:tcPr>
            <w:tcW w:w="2074" w:type="dxa"/>
            <w:vAlign w:val="center"/>
          </w:tcPr>
          <w:p>
            <w:pPr>
              <w:adjustRightInd w:val="0"/>
              <w:snapToGrid w:val="0"/>
              <w:jc w:val="center"/>
              <w:rPr>
                <w:sz w:val="24"/>
              </w:rPr>
            </w:pPr>
            <w:r>
              <w:rPr>
                <w:sz w:val="24"/>
              </w:rPr>
              <w:t>和谐劳动关系</w:t>
            </w:r>
          </w:p>
          <w:p>
            <w:pPr>
              <w:adjustRightInd w:val="0"/>
              <w:snapToGrid w:val="0"/>
              <w:jc w:val="center"/>
              <w:rPr>
                <w:sz w:val="24"/>
              </w:rPr>
            </w:pPr>
            <w:r>
              <w:rPr>
                <w:sz w:val="24"/>
              </w:rPr>
              <w:t>专项行动</w:t>
            </w:r>
          </w:p>
        </w:tc>
        <w:tc>
          <w:tcPr>
            <w:tcW w:w="6071" w:type="dxa"/>
            <w:vAlign w:val="center"/>
          </w:tcPr>
          <w:p>
            <w:pPr>
              <w:adjustRightInd w:val="0"/>
              <w:snapToGrid w:val="0"/>
              <w:rPr>
                <w:sz w:val="24"/>
              </w:rPr>
            </w:pPr>
            <w:r>
              <w:rPr>
                <w:sz w:val="24"/>
              </w:rPr>
              <w:t>劳动关系“和谐同行”专项行动，仲裁效能提升专项行动，“浙江无欠薪”行动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10" w:hRule="atLeast"/>
          <w:jc w:val="center"/>
        </w:trPr>
        <w:tc>
          <w:tcPr>
            <w:tcW w:w="700" w:type="dxa"/>
            <w:vAlign w:val="center"/>
          </w:tcPr>
          <w:p>
            <w:pPr>
              <w:adjustRightInd w:val="0"/>
              <w:snapToGrid w:val="0"/>
              <w:jc w:val="center"/>
              <w:rPr>
                <w:sz w:val="24"/>
              </w:rPr>
            </w:pPr>
            <w:r>
              <w:rPr>
                <w:sz w:val="24"/>
              </w:rPr>
              <w:t>10</w:t>
            </w:r>
          </w:p>
        </w:tc>
        <w:tc>
          <w:tcPr>
            <w:tcW w:w="2074" w:type="dxa"/>
            <w:vAlign w:val="center"/>
          </w:tcPr>
          <w:p>
            <w:pPr>
              <w:adjustRightInd w:val="0"/>
              <w:snapToGrid w:val="0"/>
              <w:jc w:val="center"/>
              <w:rPr>
                <w:sz w:val="24"/>
              </w:rPr>
            </w:pPr>
            <w:r>
              <w:rPr>
                <w:sz w:val="24"/>
              </w:rPr>
              <w:t>优化企业工资</w:t>
            </w:r>
          </w:p>
          <w:p>
            <w:pPr>
              <w:adjustRightInd w:val="0"/>
              <w:snapToGrid w:val="0"/>
              <w:jc w:val="center"/>
              <w:rPr>
                <w:sz w:val="24"/>
              </w:rPr>
            </w:pPr>
            <w:r>
              <w:rPr>
                <w:sz w:val="24"/>
              </w:rPr>
              <w:t>收入分配专项行动</w:t>
            </w:r>
          </w:p>
        </w:tc>
        <w:tc>
          <w:tcPr>
            <w:tcW w:w="6071" w:type="dxa"/>
            <w:vAlign w:val="center"/>
          </w:tcPr>
          <w:p>
            <w:pPr>
              <w:adjustRightInd w:val="0"/>
              <w:snapToGrid w:val="0"/>
              <w:rPr>
                <w:sz w:val="24"/>
              </w:rPr>
            </w:pPr>
            <w:r>
              <w:rPr>
                <w:sz w:val="24"/>
              </w:rPr>
              <w:t>稳步提高最低工资标准，加强工资分配宏观指导，推进工资集体协商，合理调节部分行业过高收入</w:t>
            </w:r>
          </w:p>
        </w:tc>
      </w:tr>
    </w:tbl>
    <w:p>
      <w:pPr>
        <w:overflowPunct w:val="0"/>
      </w:pPr>
    </w:p>
    <w:p>
      <w:bookmarkStart w:id="102" w:name="_GoBack"/>
      <w:bookmarkEnd w:id="10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90204"/>
    <w:charset w:val="00"/>
    <w:family w:val="swiss"/>
    <w:pitch w:val="default"/>
    <w:sig w:usb0="E0000AFF" w:usb1="00007843" w:usb2="00000001" w:usb3="00000000" w:csb0="400001BF" w:csb1="DFF70000"/>
  </w:font>
  <w:font w:name="楷体_GB2312">
    <w:altName w:val="汉仪楷体KW"/>
    <w:panose1 w:val="02010609030101010101"/>
    <w:charset w:val="00"/>
    <w:family w:val="modern"/>
    <w:pitch w:val="default"/>
    <w:sig w:usb0="00000000" w:usb1="00000000" w:usb2="00000000" w:usb3="00000000" w:csb0="00040000" w:csb1="00000000"/>
  </w:font>
  <w:font w:name="Arial Rounded MT Bold">
    <w:panose1 w:val="020F0704030504030204"/>
    <w:charset w:val="00"/>
    <w:family w:val="swiss"/>
    <w:pitch w:val="default"/>
    <w:sig w:usb0="00000003" w:usb1="00000000" w:usb2="00000000" w:usb3="00000000" w:csb0="20000001" w:csb1="00000000"/>
  </w:font>
  <w:font w:name="黑体">
    <w:altName w:val="汉仪中黑KW"/>
    <w:panose1 w:val="02010609060101010101"/>
    <w:charset w:val="00"/>
    <w:family w:val="auto"/>
    <w:pitch w:val="default"/>
    <w:sig w:usb0="00000000" w:usb1="00000000" w:usb2="00000016"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仿宋">
    <w:altName w:val="汉仪仿宋KW"/>
    <w:panose1 w:val="02010609060101010101"/>
    <w:charset w:val="00"/>
    <w:family w:val="modern"/>
    <w:pitch w:val="default"/>
    <w:sig w:usb0="00000000" w:usb1="00000000" w:usb2="00000016" w:usb3="00000000" w:csb0="00040001" w:csb1="00000000"/>
  </w:font>
  <w:font w:name="等线 Light">
    <w:altName w:val="汉仪中等线KW"/>
    <w:panose1 w:val="02010600030101010101"/>
    <w:charset w:val="00"/>
    <w:family w:val="auto"/>
    <w:pitch w:val="default"/>
    <w:sig w:usb0="00000000" w:usb1="00000000" w:usb2="00000016" w:usb3="00000000" w:csb0="0004000F" w:csb1="00000000"/>
  </w:font>
  <w:font w:name="方正仿宋简体">
    <w:altName w:val="苹方-简"/>
    <w:panose1 w:val="03000509000000000000"/>
    <w:charset w:val="00"/>
    <w:family w:val="script"/>
    <w:pitch w:val="default"/>
    <w:sig w:usb0="00000000" w:usb1="0000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书宋简体">
    <w:altName w:val="苹方-简"/>
    <w:panose1 w:val="03000509000000000000"/>
    <w:charset w:val="00"/>
    <w:family w:val="script"/>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1FDD2D"/>
    <w:rsid w:val="BF1FD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3"/>
    <w:basedOn w:val="1"/>
    <w:next w:val="1"/>
    <w:link w:val="11"/>
    <w:unhideWhenUsed/>
    <w:qFormat/>
    <w:uiPriority w:val="0"/>
    <w:pPr>
      <w:keepNext/>
      <w:keepLines/>
      <w:spacing w:before="260" w:after="260" w:line="416" w:lineRule="auto"/>
      <w:outlineLvl w:val="2"/>
    </w:pPr>
    <w:rPr>
      <w:b/>
      <w:bCs/>
      <w:szCs w:val="32"/>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First Indent"/>
    <w:basedOn w:val="4"/>
    <w:link w:val="15"/>
    <w:uiPriority w:val="0"/>
    <w:pPr>
      <w:spacing w:line="240" w:lineRule="auto"/>
      <w:ind w:firstLine="420" w:firstLineChars="100"/>
    </w:pPr>
    <w:rPr>
      <w:sz w:val="32"/>
    </w:rPr>
  </w:style>
  <w:style w:type="paragraph" w:styleId="4">
    <w:name w:val="Body Text"/>
    <w:basedOn w:val="1"/>
    <w:link w:val="16"/>
    <w:uiPriority w:val="0"/>
    <w:pPr>
      <w:spacing w:after="120" w:line="360" w:lineRule="auto"/>
      <w:ind w:firstLine="200" w:firstLineChars="200"/>
    </w:pPr>
    <w:rPr>
      <w:sz w:val="28"/>
    </w:rPr>
  </w:style>
  <w:style w:type="paragraph" w:styleId="5">
    <w:name w:val="Normal Indent"/>
    <w:basedOn w:val="1"/>
    <w:uiPriority w:val="0"/>
    <w:pPr>
      <w:spacing w:line="620" w:lineRule="exact"/>
      <w:ind w:firstLine="420" w:firstLineChars="200"/>
    </w:pPr>
    <w:rPr>
      <w:rFonts w:ascii="Calibri" w:hAnsi="Calibri" w:eastAsia="仿宋"/>
      <w:szCs w:val="22"/>
    </w:rPr>
  </w:style>
  <w:style w:type="paragraph" w:styleId="6">
    <w:name w:val="footnote text"/>
    <w:basedOn w:val="1"/>
    <w:uiPriority w:val="0"/>
    <w:pPr>
      <w:snapToGrid w:val="0"/>
      <w:jc w:val="left"/>
    </w:pPr>
    <w:rPr>
      <w:rFonts w:eastAsia="仿宋_GB2312"/>
      <w:sz w:val="18"/>
      <w:szCs w:val="18"/>
    </w:rPr>
  </w:style>
  <w:style w:type="paragraph" w:styleId="7">
    <w:name w:val="Normal (Web)"/>
    <w:basedOn w:val="1"/>
    <w:uiPriority w:val="0"/>
    <w:pPr>
      <w:spacing w:before="100" w:beforeAutospacing="1" w:after="100" w:afterAutospacing="1"/>
      <w:jc w:val="left"/>
    </w:pPr>
    <w:rPr>
      <w:rFonts w:eastAsia="方正仿宋简体"/>
      <w:kern w:val="0"/>
      <w:sz w:val="24"/>
    </w:rPr>
  </w:style>
  <w:style w:type="character" w:customStyle="1" w:styleId="10">
    <w:name w:val="标题2 Char"/>
    <w:basedOn w:val="11"/>
    <w:qFormat/>
    <w:uiPriority w:val="0"/>
    <w:rPr>
      <w:rFonts w:ascii="Times New Roman" w:hAnsi="Times New Roman" w:eastAsia="楷体_GB2312" w:cs="Times New Roman"/>
      <w:bCs w:val="0"/>
      <w:szCs w:val="44"/>
    </w:rPr>
  </w:style>
  <w:style w:type="character" w:customStyle="1" w:styleId="11">
    <w:name w:val="标题 3 Char"/>
    <w:basedOn w:val="8"/>
    <w:link w:val="2"/>
    <w:qFormat/>
    <w:uiPriority w:val="9"/>
    <w:rPr>
      <w:b/>
      <w:bCs/>
      <w:szCs w:val="32"/>
    </w:rPr>
  </w:style>
  <w:style w:type="character" w:customStyle="1" w:styleId="12">
    <w:name w:val="正文 A Char"/>
    <w:basedOn w:val="8"/>
    <w:link w:val="13"/>
    <w:qFormat/>
    <w:uiPriority w:val="0"/>
    <w:rPr>
      <w:rFonts w:ascii="Calibri" w:hAnsi="Calibri" w:cs="Calibri"/>
      <w:color w:val="000000"/>
      <w:kern w:val="2"/>
      <w:sz w:val="21"/>
      <w:szCs w:val="21"/>
      <w:u w:val="none" w:color="000000"/>
      <w:lang w:val="en-US" w:eastAsia="zh-CN" w:bidi="ar-SA"/>
    </w:rPr>
  </w:style>
  <w:style w:type="paragraph" w:customStyle="1" w:styleId="13">
    <w:name w:val="正文 A"/>
    <w:link w:val="12"/>
    <w:qFormat/>
    <w:uiPriority w:val="0"/>
    <w:pPr>
      <w:widowControl w:val="0"/>
      <w:jc w:val="both"/>
    </w:pPr>
    <w:rPr>
      <w:rFonts w:ascii="Calibri" w:hAnsi="Calibri" w:cs="Calibri"/>
      <w:color w:val="000000"/>
      <w:kern w:val="2"/>
      <w:sz w:val="21"/>
      <w:szCs w:val="21"/>
      <w:u w:val="none" w:color="000000"/>
      <w:lang w:val="en-US" w:eastAsia="zh-CN" w:bidi="ar-SA"/>
    </w:rPr>
  </w:style>
  <w:style w:type="paragraph" w:customStyle="1" w:styleId="14">
    <w:name w:val="Default"/>
    <w:qFormat/>
    <w:uiPriority w:val="0"/>
    <w:pPr>
      <w:widowControl w:val="0"/>
      <w:autoSpaceDE w:val="0"/>
      <w:autoSpaceDN w:val="0"/>
      <w:adjustRightInd w:val="0"/>
    </w:pPr>
    <w:rPr>
      <w:rFonts w:ascii="Arial Unicode MS" w:eastAsia="Arial Unicode MS" w:cs="Arial Unicode MS"/>
      <w:color w:val="000000"/>
      <w:sz w:val="24"/>
      <w:szCs w:val="24"/>
      <w:lang w:val="en-US" w:eastAsia="zh-CN" w:bidi="ar-SA"/>
    </w:rPr>
  </w:style>
  <w:style w:type="character" w:customStyle="1" w:styleId="15">
    <w:name w:val="正文首行缩进 Char"/>
    <w:basedOn w:val="16"/>
    <w:link w:val="3"/>
    <w:qFormat/>
    <w:uiPriority w:val="0"/>
    <w:rPr>
      <w:sz w:val="32"/>
    </w:rPr>
  </w:style>
  <w:style w:type="character" w:customStyle="1" w:styleId="16">
    <w:name w:val="正文文本 Char"/>
    <w:link w:val="4"/>
    <w:qFormat/>
    <w:locked/>
    <w:uiPriority w:val="99"/>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Office_1.2.0.1574_F1E327BC-269C-435d-A152-05C5408002CA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2021-06-30T08:42:00Z</dcterms:created>
  <dc:creator>chanvictor</dc:creator>
  <cp:lastModifiedBy>chanvictor</cp:lastModifiedBy>
  <dcterms:modified xsi:type="dcterms:W3CDTF">2021-06-30T08:42:22Z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2052-1.2.0.1574</vt:lpwstr>
  </property>
</Properties>
</file>