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eastAsia="华文楷体"/>
          <w:bCs/>
          <w:sz w:val="44"/>
          <w:szCs w:val="44"/>
        </w:rPr>
      </w:pPr>
      <w:bookmarkStart w:id="39" w:name="_GoBack"/>
      <w:r>
        <w:rPr>
          <w:rFonts w:eastAsia="方正小标宋简体"/>
          <w:bCs/>
          <w:sz w:val="44"/>
          <w:szCs w:val="44"/>
        </w:rPr>
        <w:t>浙江省知识产权发展“十四五”规划</w:t>
      </w:r>
    </w:p>
    <w:p>
      <w:pPr>
        <w:spacing w:line="590" w:lineRule="exact"/>
        <w:ind w:firstLine="640" w:firstLineChars="200"/>
        <w:rPr>
          <w:rFonts w:eastAsia="楷体_GB2312"/>
          <w:szCs w:val="32"/>
        </w:rPr>
      </w:pPr>
    </w:p>
    <w:p>
      <w:pPr>
        <w:spacing w:line="590" w:lineRule="exact"/>
        <w:ind w:firstLine="640" w:firstLineChars="200"/>
        <w:rPr>
          <w:szCs w:val="32"/>
        </w:rPr>
      </w:pPr>
      <w:r>
        <w:rPr>
          <w:szCs w:val="32"/>
        </w:rPr>
        <w:t>知识产权是人才强省、创新强省首位战略的重要支撑，知识产权保护关系国家治理体系和治理能力现代化，关系高质量发展，关系人民生活幸福，关系国家对外开放大局，关系国家安全。为忠实践行“八八战略”，奋力打造展示创新型国家和知识产权强国建设成效的“重要窗口”，根据“十四五”国家知识产权保护和运用规划精神和《浙江省国民经济和社会发展第十四个五年规划和二</w:t>
      </w:r>
      <w:r>
        <w:rPr>
          <w:rFonts w:hint="eastAsia" w:ascii="宋体" w:hAnsi="宋体" w:eastAsia="宋体"/>
          <w:szCs w:val="32"/>
        </w:rPr>
        <w:t>○</w:t>
      </w:r>
      <w:r>
        <w:rPr>
          <w:szCs w:val="32"/>
        </w:rPr>
        <w:t>三五年远景目标纲要》的总体要求，为加快建设引领型知识产权强省，明确知识产权战略意图和工作重点，特制定本规划。</w:t>
      </w:r>
    </w:p>
    <w:p>
      <w:pPr>
        <w:spacing w:line="590" w:lineRule="exact"/>
        <w:ind w:firstLine="640" w:firstLineChars="200"/>
        <w:outlineLvl w:val="0"/>
        <w:rPr>
          <w:rFonts w:eastAsia="方正综艺繁体"/>
          <w:bCs/>
          <w:kern w:val="44"/>
          <w:szCs w:val="32"/>
        </w:rPr>
      </w:pPr>
      <w:bookmarkStart w:id="0" w:name="_Toc56782697"/>
      <w:r>
        <w:rPr>
          <w:rFonts w:eastAsia="黑体"/>
          <w:bCs/>
          <w:kern w:val="44"/>
          <w:szCs w:val="32"/>
        </w:rPr>
        <w:t>一、“十三五”规划目标如期完成，引领型知识产权强省建设新征程</w:t>
      </w:r>
      <w:bookmarkEnd w:id="0"/>
      <w:r>
        <w:rPr>
          <w:rFonts w:eastAsia="黑体"/>
          <w:bCs/>
          <w:kern w:val="44"/>
          <w:szCs w:val="32"/>
        </w:rPr>
        <w:t>全面开启</w:t>
      </w:r>
    </w:p>
    <w:p>
      <w:pPr>
        <w:spacing w:line="590" w:lineRule="exact"/>
        <w:ind w:firstLine="640" w:firstLineChars="200"/>
        <w:outlineLvl w:val="1"/>
        <w:rPr>
          <w:rFonts w:eastAsia="楷体_GB2312"/>
          <w:szCs w:val="32"/>
        </w:rPr>
      </w:pPr>
      <w:bookmarkStart w:id="1" w:name="_Toc56782698"/>
      <w:r>
        <w:rPr>
          <w:rFonts w:eastAsia="楷体_GB2312"/>
          <w:szCs w:val="32"/>
        </w:rPr>
        <w:t>（一）“十三五”时期知识产权事业取得显著成效</w:t>
      </w:r>
      <w:bookmarkEnd w:id="1"/>
    </w:p>
    <w:p>
      <w:pPr>
        <w:spacing w:line="590" w:lineRule="exact"/>
        <w:ind w:firstLine="640" w:firstLineChars="200"/>
        <w:rPr>
          <w:szCs w:val="32"/>
        </w:rPr>
      </w:pPr>
      <w:r>
        <w:rPr>
          <w:szCs w:val="32"/>
        </w:rPr>
        <w:t>“十三五”期间，浙江坚决贯彻中央关于强化知识产权保护、加快知识产权强国建设的决策部署，知识产权制度更加完善、保护更加有效、运用效益更加凸显、支撑创新发展更加有力，知识产权强省建设取得显著成效，“每万人发明专利拥有量”等11项关键指标全部超额完成。</w:t>
      </w:r>
    </w:p>
    <w:p>
      <w:pPr>
        <w:spacing w:line="590" w:lineRule="exact"/>
        <w:ind w:firstLine="643" w:firstLineChars="200"/>
        <w:rPr>
          <w:szCs w:val="32"/>
        </w:rPr>
      </w:pPr>
      <w:r>
        <w:rPr>
          <w:b/>
          <w:szCs w:val="32"/>
        </w:rPr>
        <w:t>一是制度政策更加完备</w:t>
      </w:r>
      <w:r>
        <w:rPr>
          <w:szCs w:val="32"/>
        </w:rPr>
        <w:t>。知识产权机构改革顺利完成，商标、专利、地理标志、商业秘密实现集中统一管理。《浙江省专利条例》推行实施，省委、省政府相继出台《关于新形势下加快知识产权强省建设的实施意见》《关于全面强化知识产权工作的意见》《全面强化知识产权保护行动计划（2020-2021年）》。知识产权成为全省经济体制改革重点，并作为重要内容纳入“平安浙江”“营商环境评价”和省政府督查激励事项。</w:t>
      </w:r>
    </w:p>
    <w:p>
      <w:pPr>
        <w:spacing w:line="590" w:lineRule="exact"/>
        <w:ind w:firstLine="643" w:firstLineChars="200"/>
        <w:rPr>
          <w:szCs w:val="32"/>
        </w:rPr>
      </w:pPr>
      <w:r>
        <w:rPr>
          <w:b/>
          <w:szCs w:val="32"/>
        </w:rPr>
        <w:t>二是创造活力不断释放</w:t>
      </w:r>
      <w:r>
        <w:rPr>
          <w:szCs w:val="32"/>
        </w:rPr>
        <w:t>。“十三五”期间，我省有效发明专利数量、有效注册商标数量复合增长率达到15%以上，PCT国际专利申请量增长2.7倍，数字经济核心产业有效发明专利数达6万件；作品著作权年登记量达2.5万件；有效地理标志、农业、林业植物新品种分别达到376件、408个、263个。</w:t>
      </w:r>
    </w:p>
    <w:p>
      <w:pPr>
        <w:spacing w:line="590" w:lineRule="exact"/>
        <w:ind w:firstLine="643" w:firstLineChars="200"/>
        <w:rPr>
          <w:szCs w:val="32"/>
        </w:rPr>
      </w:pPr>
      <w:r>
        <w:rPr>
          <w:b/>
          <w:szCs w:val="32"/>
        </w:rPr>
        <w:t>三是运用能力大幅提升</w:t>
      </w:r>
      <w:r>
        <w:rPr>
          <w:szCs w:val="32"/>
        </w:rPr>
        <w:t>。“十三五”期间，全省专利权、商标权质押融资金额累计达到1250亿元，专利权转让、许可数量累计超15万件。成立浙江知识产权交易中心，累计成交各类知识产权5255项，交易金额11.67亿元。38个品牌入围中国500最具价值品牌，“丽水山耕”“苍农一品”包揽地市级、县市级中国区域农业形象品牌类冠军。</w:t>
      </w:r>
    </w:p>
    <w:p>
      <w:pPr>
        <w:spacing w:line="590" w:lineRule="exact"/>
        <w:ind w:firstLine="643" w:firstLineChars="200"/>
        <w:rPr>
          <w:szCs w:val="32"/>
        </w:rPr>
      </w:pPr>
      <w:r>
        <w:rPr>
          <w:b/>
          <w:szCs w:val="32"/>
        </w:rPr>
        <w:t>四是保护环境持续优化</w:t>
      </w:r>
      <w:r>
        <w:rPr>
          <w:szCs w:val="32"/>
        </w:rPr>
        <w:t>。深化司法审判体制机制改革，成立杭州、宁波知识产权法庭，率先设立杭州互联网法院，司法保护更加有力。率先下放专利行政执法权至县级，建立专利纠纷“诉调对接”机制，专利权维权周期缩短50%以上。建成国家级知识产权保护中心2家、快速维权援助中心3家、国家海外知识产权纠纷应对指导地方分中心2家。全省法院共受理知识产权民事一审案件11.2万件，审结10.9万件；累计查办商标违法案件20562件，罚没4.69亿元；处理专利侵权纠纷案件51955件，调处电商专利侵权纠纷65万件。</w:t>
      </w:r>
    </w:p>
    <w:p>
      <w:pPr>
        <w:spacing w:line="560" w:lineRule="exact"/>
        <w:ind w:firstLine="643" w:firstLineChars="200"/>
        <w:rPr>
          <w:szCs w:val="32"/>
        </w:rPr>
      </w:pPr>
      <w:r>
        <w:rPr>
          <w:b/>
          <w:szCs w:val="32"/>
        </w:rPr>
        <w:t>五是管理服务能力明显增强</w:t>
      </w:r>
      <w:r>
        <w:rPr>
          <w:szCs w:val="32"/>
        </w:rPr>
        <w:t>。11个设区市全部进入国家知识产权试点示范城市序列，杭州、宁波、台州列入国家知识产权运营服务体系建设重点城市，76.4%的县（市、区）进入省级以上知识产权示范县。培育国家级知识产权示范优势企业230家，2322家企业通过知识产权管理国家认证。知识产权“跑一地”“一件事”和“一公里”改革深入推进，建成省级及以上知识产权服务业集聚区13家、省级品牌服务指导站204家，商标受理窗口实现设区市全覆盖，专利代理机构、专利代理师数量实现翻番。</w:t>
      </w:r>
    </w:p>
    <w:p>
      <w:pPr>
        <w:spacing w:before="240" w:beforeLines="100" w:after="240" w:afterLines="100" w:line="360" w:lineRule="exact"/>
        <w:jc w:val="center"/>
        <w:rPr>
          <w:rFonts w:eastAsia="黑体"/>
          <w:bCs/>
          <w:sz w:val="24"/>
        </w:rPr>
      </w:pPr>
      <w:r>
        <w:rPr>
          <w:rFonts w:eastAsia="黑体"/>
          <w:bCs/>
          <w:sz w:val="28"/>
        </w:rPr>
        <w:t>表1</w:t>
      </w:r>
      <w:r>
        <w:rPr>
          <w:rFonts w:hint="eastAsia" w:eastAsia="黑体"/>
          <w:bCs/>
          <w:sz w:val="28"/>
        </w:rPr>
        <w:t xml:space="preserve">  </w:t>
      </w:r>
      <w:r>
        <w:rPr>
          <w:rFonts w:eastAsia="黑体"/>
          <w:bCs/>
          <w:sz w:val="28"/>
        </w:rPr>
        <w:t>“十三五”规划主要指标完成情况</w:t>
      </w:r>
    </w:p>
    <w:tbl>
      <w:tblPr>
        <w:tblStyle w:val="7"/>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3384"/>
        <w:gridCol w:w="880"/>
        <w:gridCol w:w="1768"/>
        <w:gridCol w:w="1534"/>
        <w:gridCol w:w="1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3384" w:type="dxa"/>
            <w:shd w:val="clear" w:color="000000" w:fill="FFFFFF"/>
            <w:vAlign w:val="center"/>
          </w:tcPr>
          <w:p>
            <w:pPr>
              <w:snapToGrid w:val="0"/>
              <w:contextualSpacing/>
              <w:jc w:val="center"/>
              <w:rPr>
                <w:rFonts w:eastAsia="黑体"/>
                <w:kern w:val="0"/>
                <w:sz w:val="24"/>
              </w:rPr>
            </w:pPr>
            <w:r>
              <w:rPr>
                <w:rFonts w:eastAsia="黑体"/>
                <w:kern w:val="0"/>
                <w:sz w:val="24"/>
              </w:rPr>
              <w:t>指标名称</w:t>
            </w:r>
          </w:p>
        </w:tc>
        <w:tc>
          <w:tcPr>
            <w:tcW w:w="880" w:type="dxa"/>
            <w:shd w:val="clear" w:color="000000" w:fill="FFFFFF"/>
            <w:vAlign w:val="center"/>
          </w:tcPr>
          <w:p>
            <w:pPr>
              <w:snapToGrid w:val="0"/>
              <w:contextualSpacing/>
              <w:jc w:val="center"/>
              <w:rPr>
                <w:rFonts w:eastAsia="黑体"/>
                <w:kern w:val="0"/>
                <w:sz w:val="24"/>
              </w:rPr>
            </w:pPr>
            <w:r>
              <w:rPr>
                <w:rFonts w:eastAsia="黑体"/>
                <w:kern w:val="0"/>
                <w:sz w:val="24"/>
              </w:rPr>
              <w:t>单位</w:t>
            </w:r>
          </w:p>
        </w:tc>
        <w:tc>
          <w:tcPr>
            <w:tcW w:w="1768" w:type="dxa"/>
            <w:shd w:val="clear" w:color="000000" w:fill="FFFFFF"/>
            <w:vAlign w:val="center"/>
          </w:tcPr>
          <w:p>
            <w:pPr>
              <w:snapToGrid w:val="0"/>
              <w:contextualSpacing/>
              <w:jc w:val="center"/>
              <w:rPr>
                <w:rFonts w:eastAsia="黑体"/>
                <w:kern w:val="0"/>
                <w:sz w:val="24"/>
              </w:rPr>
            </w:pPr>
            <w:r>
              <w:rPr>
                <w:rFonts w:eastAsia="黑体"/>
                <w:kern w:val="0"/>
                <w:sz w:val="24"/>
              </w:rPr>
              <w:t>“十三五”目标值</w:t>
            </w:r>
          </w:p>
        </w:tc>
        <w:tc>
          <w:tcPr>
            <w:tcW w:w="1534" w:type="dxa"/>
            <w:shd w:val="clear" w:color="000000" w:fill="FFFFFF"/>
            <w:vAlign w:val="center"/>
          </w:tcPr>
          <w:p>
            <w:pPr>
              <w:snapToGrid w:val="0"/>
              <w:contextualSpacing/>
              <w:jc w:val="center"/>
              <w:rPr>
                <w:rFonts w:eastAsia="黑体"/>
                <w:kern w:val="0"/>
                <w:sz w:val="24"/>
              </w:rPr>
            </w:pPr>
            <w:r>
              <w:rPr>
                <w:rFonts w:eastAsia="黑体"/>
                <w:kern w:val="0"/>
                <w:sz w:val="24"/>
              </w:rPr>
              <w:t>实际完成值</w:t>
            </w:r>
          </w:p>
        </w:tc>
        <w:tc>
          <w:tcPr>
            <w:tcW w:w="1279" w:type="dxa"/>
            <w:shd w:val="clear" w:color="000000" w:fill="FFFFFF"/>
            <w:vAlign w:val="center"/>
          </w:tcPr>
          <w:p>
            <w:pPr>
              <w:snapToGrid w:val="0"/>
              <w:contextualSpacing/>
              <w:jc w:val="center"/>
              <w:rPr>
                <w:rFonts w:eastAsia="黑体"/>
                <w:kern w:val="0"/>
                <w:sz w:val="24"/>
              </w:rPr>
            </w:pPr>
            <w:r>
              <w:rPr>
                <w:rFonts w:eastAsia="黑体"/>
                <w:kern w:val="0"/>
                <w:sz w:val="24"/>
              </w:rPr>
              <w:t>进度评价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3384" w:type="dxa"/>
            <w:shd w:val="clear" w:color="auto" w:fill="FFFFFF"/>
            <w:vAlign w:val="center"/>
          </w:tcPr>
          <w:p>
            <w:pPr>
              <w:snapToGrid w:val="0"/>
              <w:contextualSpacing/>
              <w:rPr>
                <w:kern w:val="0"/>
                <w:sz w:val="24"/>
              </w:rPr>
            </w:pPr>
            <w:r>
              <w:rPr>
                <w:kern w:val="0"/>
                <w:sz w:val="24"/>
              </w:rPr>
              <w:t>发明专利年授权量</w:t>
            </w:r>
          </w:p>
        </w:tc>
        <w:tc>
          <w:tcPr>
            <w:tcW w:w="880" w:type="dxa"/>
            <w:shd w:val="clear" w:color="auto" w:fill="FFFFFF"/>
            <w:vAlign w:val="center"/>
          </w:tcPr>
          <w:p>
            <w:pPr>
              <w:snapToGrid w:val="0"/>
              <w:contextualSpacing/>
              <w:jc w:val="center"/>
              <w:rPr>
                <w:kern w:val="0"/>
                <w:sz w:val="24"/>
              </w:rPr>
            </w:pPr>
            <w:r>
              <w:rPr>
                <w:kern w:val="0"/>
                <w:sz w:val="24"/>
              </w:rPr>
              <w:t>件</w:t>
            </w:r>
          </w:p>
        </w:tc>
        <w:tc>
          <w:tcPr>
            <w:tcW w:w="1768" w:type="dxa"/>
            <w:shd w:val="clear" w:color="auto" w:fill="FFFFFF"/>
            <w:vAlign w:val="center"/>
          </w:tcPr>
          <w:p>
            <w:pPr>
              <w:snapToGrid w:val="0"/>
              <w:contextualSpacing/>
              <w:jc w:val="center"/>
              <w:rPr>
                <w:kern w:val="0"/>
                <w:sz w:val="24"/>
              </w:rPr>
            </w:pPr>
            <w:r>
              <w:rPr>
                <w:kern w:val="0"/>
                <w:sz w:val="24"/>
              </w:rPr>
              <w:t>40000</w:t>
            </w:r>
          </w:p>
        </w:tc>
        <w:tc>
          <w:tcPr>
            <w:tcW w:w="1534" w:type="dxa"/>
            <w:shd w:val="clear" w:color="auto" w:fill="FFFFFF"/>
            <w:vAlign w:val="center"/>
          </w:tcPr>
          <w:p>
            <w:pPr>
              <w:snapToGrid w:val="0"/>
              <w:contextualSpacing/>
              <w:jc w:val="center"/>
              <w:rPr>
                <w:kern w:val="0"/>
                <w:sz w:val="24"/>
              </w:rPr>
            </w:pPr>
            <w:r>
              <w:rPr>
                <w:kern w:val="0"/>
                <w:sz w:val="24"/>
              </w:rPr>
              <w:t>49888</w:t>
            </w:r>
          </w:p>
        </w:tc>
        <w:tc>
          <w:tcPr>
            <w:tcW w:w="1279" w:type="dxa"/>
            <w:shd w:val="clear" w:color="auto" w:fill="FFFFFF"/>
            <w:vAlign w:val="center"/>
          </w:tcPr>
          <w:p>
            <w:pPr>
              <w:snapToGrid w:val="0"/>
              <w:contextualSpacing/>
              <w:jc w:val="center"/>
              <w:rPr>
                <w:kern w:val="0"/>
                <w:sz w:val="24"/>
              </w:rPr>
            </w:pPr>
            <w:r>
              <w:rPr>
                <w:kern w:val="0"/>
                <w:sz w:val="24"/>
              </w:rPr>
              <w:t>已实现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3384" w:type="dxa"/>
            <w:shd w:val="clear" w:color="auto" w:fill="FFFFFF"/>
            <w:vAlign w:val="center"/>
          </w:tcPr>
          <w:p>
            <w:pPr>
              <w:snapToGrid w:val="0"/>
              <w:contextualSpacing/>
              <w:rPr>
                <w:kern w:val="0"/>
                <w:sz w:val="24"/>
              </w:rPr>
            </w:pPr>
            <w:r>
              <w:rPr>
                <w:kern w:val="0"/>
                <w:sz w:val="24"/>
              </w:rPr>
              <w:t>每万人发明专利拥有量</w:t>
            </w:r>
          </w:p>
        </w:tc>
        <w:tc>
          <w:tcPr>
            <w:tcW w:w="880" w:type="dxa"/>
            <w:shd w:val="clear" w:color="auto" w:fill="FFFFFF"/>
            <w:vAlign w:val="center"/>
          </w:tcPr>
          <w:p>
            <w:pPr>
              <w:snapToGrid w:val="0"/>
              <w:contextualSpacing/>
              <w:jc w:val="center"/>
              <w:rPr>
                <w:kern w:val="0"/>
                <w:sz w:val="24"/>
              </w:rPr>
            </w:pPr>
            <w:r>
              <w:rPr>
                <w:kern w:val="0"/>
                <w:sz w:val="24"/>
              </w:rPr>
              <w:t>件</w:t>
            </w:r>
          </w:p>
        </w:tc>
        <w:tc>
          <w:tcPr>
            <w:tcW w:w="1768" w:type="dxa"/>
            <w:shd w:val="clear" w:color="auto" w:fill="FFFFFF"/>
            <w:vAlign w:val="center"/>
          </w:tcPr>
          <w:p>
            <w:pPr>
              <w:snapToGrid w:val="0"/>
              <w:contextualSpacing/>
              <w:jc w:val="center"/>
              <w:rPr>
                <w:sz w:val="24"/>
              </w:rPr>
            </w:pPr>
            <w:r>
              <w:rPr>
                <w:sz w:val="24"/>
              </w:rPr>
              <w:t>17</w:t>
            </w:r>
          </w:p>
        </w:tc>
        <w:tc>
          <w:tcPr>
            <w:tcW w:w="1534" w:type="dxa"/>
            <w:shd w:val="clear" w:color="auto" w:fill="FFFFFF"/>
            <w:vAlign w:val="center"/>
          </w:tcPr>
          <w:p>
            <w:pPr>
              <w:snapToGrid w:val="0"/>
              <w:contextualSpacing/>
              <w:jc w:val="center"/>
              <w:rPr>
                <w:kern w:val="0"/>
                <w:sz w:val="24"/>
              </w:rPr>
            </w:pPr>
            <w:r>
              <w:rPr>
                <w:kern w:val="0"/>
                <w:sz w:val="24"/>
              </w:rPr>
              <w:t>34.1</w:t>
            </w:r>
          </w:p>
        </w:tc>
        <w:tc>
          <w:tcPr>
            <w:tcW w:w="1279" w:type="dxa"/>
            <w:shd w:val="clear" w:color="auto" w:fill="FFFFFF"/>
            <w:vAlign w:val="center"/>
          </w:tcPr>
          <w:p>
            <w:pPr>
              <w:snapToGrid w:val="0"/>
              <w:contextualSpacing/>
              <w:jc w:val="center"/>
              <w:rPr>
                <w:kern w:val="0"/>
                <w:sz w:val="24"/>
              </w:rPr>
            </w:pPr>
            <w:r>
              <w:rPr>
                <w:kern w:val="0"/>
                <w:sz w:val="24"/>
              </w:rPr>
              <w:t>已实现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3384" w:type="dxa"/>
            <w:shd w:val="clear" w:color="auto" w:fill="FFFFFF"/>
            <w:vAlign w:val="center"/>
          </w:tcPr>
          <w:p>
            <w:pPr>
              <w:snapToGrid w:val="0"/>
              <w:contextualSpacing/>
              <w:rPr>
                <w:kern w:val="0"/>
                <w:sz w:val="24"/>
              </w:rPr>
            </w:pPr>
            <w:r>
              <w:rPr>
                <w:kern w:val="0"/>
                <w:sz w:val="24"/>
              </w:rPr>
              <w:t>PCT年申请量</w:t>
            </w:r>
          </w:p>
        </w:tc>
        <w:tc>
          <w:tcPr>
            <w:tcW w:w="880" w:type="dxa"/>
            <w:shd w:val="clear" w:color="auto" w:fill="FFFFFF"/>
            <w:vAlign w:val="center"/>
          </w:tcPr>
          <w:p>
            <w:pPr>
              <w:snapToGrid w:val="0"/>
              <w:contextualSpacing/>
              <w:jc w:val="center"/>
              <w:rPr>
                <w:kern w:val="0"/>
                <w:sz w:val="24"/>
              </w:rPr>
            </w:pPr>
            <w:r>
              <w:rPr>
                <w:kern w:val="0"/>
                <w:sz w:val="24"/>
              </w:rPr>
              <w:t>件</w:t>
            </w:r>
          </w:p>
        </w:tc>
        <w:tc>
          <w:tcPr>
            <w:tcW w:w="1768" w:type="dxa"/>
            <w:shd w:val="clear" w:color="auto" w:fill="FFFFFF"/>
            <w:vAlign w:val="center"/>
          </w:tcPr>
          <w:p>
            <w:pPr>
              <w:snapToGrid w:val="0"/>
              <w:contextualSpacing/>
              <w:jc w:val="center"/>
              <w:rPr>
                <w:kern w:val="0"/>
                <w:sz w:val="24"/>
              </w:rPr>
            </w:pPr>
            <w:r>
              <w:rPr>
                <w:kern w:val="0"/>
                <w:sz w:val="24"/>
              </w:rPr>
              <w:t>1600</w:t>
            </w:r>
          </w:p>
        </w:tc>
        <w:tc>
          <w:tcPr>
            <w:tcW w:w="1534" w:type="dxa"/>
            <w:shd w:val="clear" w:color="auto" w:fill="FFFFFF"/>
            <w:vAlign w:val="center"/>
          </w:tcPr>
          <w:p>
            <w:pPr>
              <w:snapToGrid w:val="0"/>
              <w:contextualSpacing/>
              <w:jc w:val="center"/>
              <w:rPr>
                <w:kern w:val="0"/>
                <w:sz w:val="24"/>
              </w:rPr>
            </w:pPr>
            <w:r>
              <w:rPr>
                <w:kern w:val="0"/>
                <w:sz w:val="24"/>
              </w:rPr>
              <w:t>4307</w:t>
            </w:r>
          </w:p>
        </w:tc>
        <w:tc>
          <w:tcPr>
            <w:tcW w:w="1279" w:type="dxa"/>
            <w:shd w:val="clear" w:color="auto" w:fill="FFFFFF"/>
            <w:vAlign w:val="center"/>
          </w:tcPr>
          <w:p>
            <w:pPr>
              <w:snapToGrid w:val="0"/>
              <w:contextualSpacing/>
              <w:jc w:val="center"/>
              <w:rPr>
                <w:kern w:val="0"/>
                <w:sz w:val="24"/>
              </w:rPr>
            </w:pPr>
            <w:r>
              <w:rPr>
                <w:kern w:val="0"/>
                <w:sz w:val="24"/>
              </w:rPr>
              <w:t>已实现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3384" w:type="dxa"/>
            <w:shd w:val="clear" w:color="auto" w:fill="FFFFFF"/>
            <w:vAlign w:val="center"/>
          </w:tcPr>
          <w:p>
            <w:pPr>
              <w:snapToGrid w:val="0"/>
              <w:contextualSpacing/>
              <w:rPr>
                <w:kern w:val="0"/>
                <w:sz w:val="24"/>
              </w:rPr>
            </w:pPr>
            <w:r>
              <w:rPr>
                <w:kern w:val="0"/>
                <w:sz w:val="24"/>
              </w:rPr>
              <w:t>每百家企业有效注册商标量</w:t>
            </w:r>
          </w:p>
        </w:tc>
        <w:tc>
          <w:tcPr>
            <w:tcW w:w="880" w:type="dxa"/>
            <w:shd w:val="clear" w:color="auto" w:fill="FFFFFF"/>
            <w:vAlign w:val="center"/>
          </w:tcPr>
          <w:p>
            <w:pPr>
              <w:snapToGrid w:val="0"/>
              <w:contextualSpacing/>
              <w:jc w:val="center"/>
              <w:rPr>
                <w:kern w:val="0"/>
                <w:sz w:val="24"/>
              </w:rPr>
            </w:pPr>
            <w:r>
              <w:rPr>
                <w:kern w:val="0"/>
                <w:sz w:val="24"/>
              </w:rPr>
              <w:t>件</w:t>
            </w:r>
          </w:p>
        </w:tc>
        <w:tc>
          <w:tcPr>
            <w:tcW w:w="1768" w:type="dxa"/>
            <w:shd w:val="clear" w:color="auto" w:fill="FFFFFF"/>
            <w:vAlign w:val="center"/>
          </w:tcPr>
          <w:p>
            <w:pPr>
              <w:snapToGrid w:val="0"/>
              <w:contextualSpacing/>
              <w:jc w:val="center"/>
              <w:rPr>
                <w:kern w:val="0"/>
                <w:sz w:val="24"/>
              </w:rPr>
            </w:pPr>
            <w:r>
              <w:rPr>
                <w:kern w:val="0"/>
                <w:sz w:val="24"/>
              </w:rPr>
              <w:t>82</w:t>
            </w:r>
          </w:p>
        </w:tc>
        <w:tc>
          <w:tcPr>
            <w:tcW w:w="1534" w:type="dxa"/>
            <w:shd w:val="clear" w:color="auto" w:fill="FFFFFF"/>
            <w:vAlign w:val="center"/>
          </w:tcPr>
          <w:p>
            <w:pPr>
              <w:snapToGrid w:val="0"/>
              <w:contextualSpacing/>
              <w:jc w:val="center"/>
              <w:rPr>
                <w:kern w:val="0"/>
                <w:sz w:val="24"/>
              </w:rPr>
            </w:pPr>
            <w:r>
              <w:rPr>
                <w:kern w:val="0"/>
                <w:sz w:val="24"/>
              </w:rPr>
              <w:t>100.1</w:t>
            </w:r>
          </w:p>
        </w:tc>
        <w:tc>
          <w:tcPr>
            <w:tcW w:w="1279" w:type="dxa"/>
            <w:shd w:val="clear" w:color="auto" w:fill="FFFFFF"/>
            <w:vAlign w:val="center"/>
          </w:tcPr>
          <w:p>
            <w:pPr>
              <w:snapToGrid w:val="0"/>
              <w:contextualSpacing/>
              <w:jc w:val="center"/>
              <w:rPr>
                <w:kern w:val="0"/>
                <w:sz w:val="24"/>
              </w:rPr>
            </w:pPr>
            <w:r>
              <w:rPr>
                <w:kern w:val="0"/>
                <w:sz w:val="24"/>
              </w:rPr>
              <w:t>已实现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3384" w:type="dxa"/>
            <w:shd w:val="clear" w:color="auto" w:fill="FFFFFF"/>
            <w:vAlign w:val="center"/>
          </w:tcPr>
          <w:p>
            <w:pPr>
              <w:snapToGrid w:val="0"/>
              <w:contextualSpacing/>
              <w:rPr>
                <w:kern w:val="0"/>
                <w:sz w:val="24"/>
              </w:rPr>
            </w:pPr>
            <w:r>
              <w:rPr>
                <w:kern w:val="0"/>
                <w:sz w:val="24"/>
              </w:rPr>
              <w:t>驰名商标累计拥有量</w:t>
            </w:r>
          </w:p>
        </w:tc>
        <w:tc>
          <w:tcPr>
            <w:tcW w:w="880" w:type="dxa"/>
            <w:shd w:val="clear" w:color="auto" w:fill="FFFFFF"/>
            <w:vAlign w:val="center"/>
          </w:tcPr>
          <w:p>
            <w:pPr>
              <w:snapToGrid w:val="0"/>
              <w:contextualSpacing/>
              <w:jc w:val="center"/>
              <w:rPr>
                <w:kern w:val="0"/>
                <w:sz w:val="24"/>
              </w:rPr>
            </w:pPr>
            <w:r>
              <w:rPr>
                <w:kern w:val="0"/>
                <w:sz w:val="24"/>
              </w:rPr>
              <w:t>件</w:t>
            </w:r>
          </w:p>
        </w:tc>
        <w:tc>
          <w:tcPr>
            <w:tcW w:w="1768" w:type="dxa"/>
            <w:shd w:val="clear" w:color="auto" w:fill="FFFFFF"/>
            <w:vAlign w:val="center"/>
          </w:tcPr>
          <w:p>
            <w:pPr>
              <w:snapToGrid w:val="0"/>
              <w:contextualSpacing/>
              <w:jc w:val="center"/>
              <w:rPr>
                <w:kern w:val="0"/>
                <w:sz w:val="24"/>
              </w:rPr>
            </w:pPr>
            <w:r>
              <w:rPr>
                <w:kern w:val="0"/>
                <w:sz w:val="24"/>
              </w:rPr>
              <w:t>600</w:t>
            </w:r>
          </w:p>
        </w:tc>
        <w:tc>
          <w:tcPr>
            <w:tcW w:w="1534" w:type="dxa"/>
            <w:shd w:val="clear" w:color="auto" w:fill="FFFFFF"/>
            <w:vAlign w:val="center"/>
          </w:tcPr>
          <w:p>
            <w:pPr>
              <w:snapToGrid w:val="0"/>
              <w:contextualSpacing/>
              <w:jc w:val="center"/>
              <w:rPr>
                <w:kern w:val="0"/>
                <w:sz w:val="24"/>
              </w:rPr>
            </w:pPr>
            <w:r>
              <w:rPr>
                <w:kern w:val="0"/>
                <w:sz w:val="24"/>
              </w:rPr>
              <w:t>646</w:t>
            </w:r>
          </w:p>
        </w:tc>
        <w:tc>
          <w:tcPr>
            <w:tcW w:w="1279" w:type="dxa"/>
            <w:shd w:val="clear" w:color="auto" w:fill="FFFFFF"/>
            <w:vAlign w:val="center"/>
          </w:tcPr>
          <w:p>
            <w:pPr>
              <w:snapToGrid w:val="0"/>
              <w:contextualSpacing/>
              <w:jc w:val="center"/>
              <w:rPr>
                <w:kern w:val="0"/>
                <w:sz w:val="24"/>
              </w:rPr>
            </w:pPr>
            <w:r>
              <w:rPr>
                <w:kern w:val="0"/>
                <w:sz w:val="24"/>
              </w:rPr>
              <w:t>已实现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3384" w:type="dxa"/>
            <w:shd w:val="clear" w:color="auto" w:fill="FFFFFF"/>
            <w:vAlign w:val="center"/>
          </w:tcPr>
          <w:p>
            <w:pPr>
              <w:snapToGrid w:val="0"/>
              <w:contextualSpacing/>
              <w:rPr>
                <w:kern w:val="0"/>
                <w:sz w:val="24"/>
              </w:rPr>
            </w:pPr>
            <w:r>
              <w:rPr>
                <w:kern w:val="0"/>
                <w:sz w:val="24"/>
              </w:rPr>
              <w:t>作品著作权登记量</w:t>
            </w:r>
          </w:p>
        </w:tc>
        <w:tc>
          <w:tcPr>
            <w:tcW w:w="880" w:type="dxa"/>
            <w:shd w:val="clear" w:color="auto" w:fill="FFFFFF"/>
            <w:vAlign w:val="center"/>
          </w:tcPr>
          <w:p>
            <w:pPr>
              <w:snapToGrid w:val="0"/>
              <w:contextualSpacing/>
              <w:jc w:val="center"/>
              <w:rPr>
                <w:kern w:val="0"/>
                <w:sz w:val="24"/>
              </w:rPr>
            </w:pPr>
            <w:r>
              <w:rPr>
                <w:kern w:val="0"/>
                <w:sz w:val="24"/>
              </w:rPr>
              <w:t>万件</w:t>
            </w:r>
          </w:p>
        </w:tc>
        <w:tc>
          <w:tcPr>
            <w:tcW w:w="1768" w:type="dxa"/>
            <w:shd w:val="clear" w:color="auto" w:fill="FFFFFF"/>
            <w:vAlign w:val="center"/>
          </w:tcPr>
          <w:p>
            <w:pPr>
              <w:snapToGrid w:val="0"/>
              <w:contextualSpacing/>
              <w:jc w:val="center"/>
              <w:rPr>
                <w:kern w:val="0"/>
                <w:sz w:val="24"/>
              </w:rPr>
            </w:pPr>
            <w:r>
              <w:rPr>
                <w:kern w:val="0"/>
                <w:sz w:val="24"/>
              </w:rPr>
              <w:t>1.8</w:t>
            </w:r>
          </w:p>
        </w:tc>
        <w:tc>
          <w:tcPr>
            <w:tcW w:w="1534" w:type="dxa"/>
            <w:shd w:val="clear" w:color="auto" w:fill="FFFFFF"/>
            <w:vAlign w:val="center"/>
          </w:tcPr>
          <w:p>
            <w:pPr>
              <w:snapToGrid w:val="0"/>
              <w:contextualSpacing/>
              <w:jc w:val="center"/>
              <w:rPr>
                <w:kern w:val="0"/>
                <w:sz w:val="24"/>
              </w:rPr>
            </w:pPr>
            <w:r>
              <w:rPr>
                <w:kern w:val="0"/>
                <w:sz w:val="24"/>
              </w:rPr>
              <w:t>2.5</w:t>
            </w:r>
          </w:p>
        </w:tc>
        <w:tc>
          <w:tcPr>
            <w:tcW w:w="1279" w:type="dxa"/>
            <w:shd w:val="clear" w:color="auto" w:fill="FFFFFF"/>
            <w:vAlign w:val="center"/>
          </w:tcPr>
          <w:p>
            <w:pPr>
              <w:snapToGrid w:val="0"/>
              <w:contextualSpacing/>
              <w:jc w:val="center"/>
              <w:rPr>
                <w:kern w:val="0"/>
                <w:sz w:val="24"/>
              </w:rPr>
            </w:pPr>
            <w:r>
              <w:rPr>
                <w:kern w:val="0"/>
                <w:sz w:val="24"/>
              </w:rPr>
              <w:t>已实现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3384" w:type="dxa"/>
            <w:shd w:val="clear" w:color="auto" w:fill="FFFFFF"/>
            <w:vAlign w:val="center"/>
          </w:tcPr>
          <w:p>
            <w:pPr>
              <w:snapToGrid w:val="0"/>
              <w:contextualSpacing/>
              <w:rPr>
                <w:kern w:val="0"/>
                <w:sz w:val="24"/>
              </w:rPr>
            </w:pPr>
            <w:r>
              <w:rPr>
                <w:kern w:val="0"/>
                <w:sz w:val="24"/>
              </w:rPr>
              <w:t>有效植物新品种量</w:t>
            </w:r>
          </w:p>
        </w:tc>
        <w:tc>
          <w:tcPr>
            <w:tcW w:w="880" w:type="dxa"/>
            <w:shd w:val="clear" w:color="auto" w:fill="FFFFFF"/>
            <w:vAlign w:val="center"/>
          </w:tcPr>
          <w:p>
            <w:pPr>
              <w:snapToGrid w:val="0"/>
              <w:contextualSpacing/>
              <w:jc w:val="center"/>
              <w:rPr>
                <w:kern w:val="0"/>
                <w:sz w:val="24"/>
              </w:rPr>
            </w:pPr>
            <w:r>
              <w:rPr>
                <w:kern w:val="0"/>
                <w:sz w:val="24"/>
              </w:rPr>
              <w:t>件</w:t>
            </w:r>
          </w:p>
        </w:tc>
        <w:tc>
          <w:tcPr>
            <w:tcW w:w="1768" w:type="dxa"/>
            <w:shd w:val="clear" w:color="auto" w:fill="FFFFFF"/>
            <w:vAlign w:val="center"/>
          </w:tcPr>
          <w:p>
            <w:pPr>
              <w:snapToGrid w:val="0"/>
              <w:contextualSpacing/>
              <w:jc w:val="center"/>
              <w:rPr>
                <w:kern w:val="0"/>
                <w:sz w:val="24"/>
              </w:rPr>
            </w:pPr>
            <w:r>
              <w:rPr>
                <w:kern w:val="0"/>
                <w:sz w:val="24"/>
              </w:rPr>
              <w:t>150</w:t>
            </w:r>
          </w:p>
        </w:tc>
        <w:tc>
          <w:tcPr>
            <w:tcW w:w="1534" w:type="dxa"/>
            <w:shd w:val="clear" w:color="auto" w:fill="FFFFFF"/>
            <w:vAlign w:val="center"/>
          </w:tcPr>
          <w:p>
            <w:pPr>
              <w:snapToGrid w:val="0"/>
              <w:contextualSpacing/>
              <w:jc w:val="center"/>
              <w:rPr>
                <w:kern w:val="0"/>
                <w:sz w:val="24"/>
              </w:rPr>
            </w:pPr>
            <w:r>
              <w:rPr>
                <w:kern w:val="0"/>
                <w:sz w:val="24"/>
              </w:rPr>
              <w:t>671</w:t>
            </w:r>
          </w:p>
        </w:tc>
        <w:tc>
          <w:tcPr>
            <w:tcW w:w="1279" w:type="dxa"/>
            <w:shd w:val="clear" w:color="auto" w:fill="FFFFFF"/>
            <w:vAlign w:val="center"/>
          </w:tcPr>
          <w:p>
            <w:pPr>
              <w:snapToGrid w:val="0"/>
              <w:contextualSpacing/>
              <w:jc w:val="center"/>
              <w:rPr>
                <w:kern w:val="0"/>
                <w:sz w:val="24"/>
              </w:rPr>
            </w:pPr>
            <w:r>
              <w:rPr>
                <w:kern w:val="0"/>
                <w:sz w:val="24"/>
              </w:rPr>
              <w:t>已实现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3384" w:type="dxa"/>
            <w:shd w:val="clear" w:color="auto" w:fill="FFFFFF"/>
            <w:vAlign w:val="center"/>
          </w:tcPr>
          <w:p>
            <w:pPr>
              <w:snapToGrid w:val="0"/>
              <w:contextualSpacing/>
              <w:rPr>
                <w:kern w:val="0"/>
                <w:sz w:val="24"/>
              </w:rPr>
            </w:pPr>
            <w:r>
              <w:rPr>
                <w:kern w:val="0"/>
                <w:sz w:val="24"/>
              </w:rPr>
              <w:t>技术市场成交额</w:t>
            </w:r>
          </w:p>
        </w:tc>
        <w:tc>
          <w:tcPr>
            <w:tcW w:w="880" w:type="dxa"/>
            <w:shd w:val="clear" w:color="auto" w:fill="FFFFFF"/>
            <w:vAlign w:val="center"/>
          </w:tcPr>
          <w:p>
            <w:pPr>
              <w:snapToGrid w:val="0"/>
              <w:contextualSpacing/>
              <w:jc w:val="center"/>
              <w:rPr>
                <w:kern w:val="0"/>
                <w:sz w:val="24"/>
              </w:rPr>
            </w:pPr>
            <w:r>
              <w:rPr>
                <w:kern w:val="0"/>
                <w:sz w:val="24"/>
              </w:rPr>
              <w:t>亿元</w:t>
            </w:r>
          </w:p>
        </w:tc>
        <w:tc>
          <w:tcPr>
            <w:tcW w:w="1768" w:type="dxa"/>
            <w:shd w:val="clear" w:color="auto" w:fill="FFFFFF"/>
            <w:vAlign w:val="center"/>
          </w:tcPr>
          <w:p>
            <w:pPr>
              <w:snapToGrid w:val="0"/>
              <w:contextualSpacing/>
              <w:jc w:val="center"/>
              <w:rPr>
                <w:kern w:val="0"/>
                <w:sz w:val="24"/>
              </w:rPr>
            </w:pPr>
            <w:r>
              <w:rPr>
                <w:kern w:val="0"/>
                <w:sz w:val="24"/>
              </w:rPr>
              <w:t>220</w:t>
            </w:r>
          </w:p>
        </w:tc>
        <w:tc>
          <w:tcPr>
            <w:tcW w:w="1534" w:type="dxa"/>
            <w:shd w:val="clear" w:color="auto" w:fill="FFFFFF"/>
            <w:vAlign w:val="center"/>
          </w:tcPr>
          <w:p>
            <w:pPr>
              <w:snapToGrid w:val="0"/>
              <w:contextualSpacing/>
              <w:jc w:val="center"/>
              <w:rPr>
                <w:kern w:val="0"/>
                <w:sz w:val="24"/>
              </w:rPr>
            </w:pPr>
            <w:r>
              <w:rPr>
                <w:kern w:val="0"/>
                <w:sz w:val="24"/>
              </w:rPr>
              <w:t>1400</w:t>
            </w:r>
          </w:p>
        </w:tc>
        <w:tc>
          <w:tcPr>
            <w:tcW w:w="1279" w:type="dxa"/>
            <w:shd w:val="clear" w:color="auto" w:fill="FFFFFF"/>
            <w:vAlign w:val="center"/>
          </w:tcPr>
          <w:p>
            <w:pPr>
              <w:snapToGrid w:val="0"/>
              <w:contextualSpacing/>
              <w:jc w:val="center"/>
              <w:rPr>
                <w:kern w:val="0"/>
                <w:sz w:val="24"/>
              </w:rPr>
            </w:pPr>
            <w:r>
              <w:rPr>
                <w:kern w:val="0"/>
                <w:sz w:val="24"/>
              </w:rPr>
              <w:t>已实现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3384" w:type="dxa"/>
            <w:shd w:val="clear" w:color="auto" w:fill="FFFFFF"/>
            <w:vAlign w:val="center"/>
          </w:tcPr>
          <w:p>
            <w:pPr>
              <w:snapToGrid w:val="0"/>
              <w:contextualSpacing/>
              <w:rPr>
                <w:kern w:val="0"/>
                <w:sz w:val="24"/>
              </w:rPr>
            </w:pPr>
            <w:r>
              <w:rPr>
                <w:kern w:val="0"/>
                <w:sz w:val="24"/>
              </w:rPr>
              <w:t>许可使用金额</w:t>
            </w:r>
          </w:p>
        </w:tc>
        <w:tc>
          <w:tcPr>
            <w:tcW w:w="880" w:type="dxa"/>
            <w:shd w:val="clear" w:color="auto" w:fill="FFFFFF"/>
            <w:vAlign w:val="center"/>
          </w:tcPr>
          <w:p>
            <w:pPr>
              <w:snapToGrid w:val="0"/>
              <w:contextualSpacing/>
              <w:jc w:val="center"/>
              <w:rPr>
                <w:kern w:val="0"/>
                <w:sz w:val="24"/>
              </w:rPr>
            </w:pPr>
            <w:r>
              <w:rPr>
                <w:kern w:val="0"/>
                <w:sz w:val="24"/>
              </w:rPr>
              <w:t>亿元</w:t>
            </w:r>
          </w:p>
        </w:tc>
        <w:tc>
          <w:tcPr>
            <w:tcW w:w="1768" w:type="dxa"/>
            <w:shd w:val="clear" w:color="auto" w:fill="FFFFFF"/>
            <w:vAlign w:val="center"/>
          </w:tcPr>
          <w:p>
            <w:pPr>
              <w:snapToGrid w:val="0"/>
              <w:contextualSpacing/>
              <w:jc w:val="center"/>
              <w:rPr>
                <w:kern w:val="0"/>
                <w:sz w:val="24"/>
              </w:rPr>
            </w:pPr>
            <w:r>
              <w:rPr>
                <w:kern w:val="0"/>
                <w:sz w:val="24"/>
              </w:rPr>
              <w:t>5</w:t>
            </w:r>
          </w:p>
        </w:tc>
        <w:tc>
          <w:tcPr>
            <w:tcW w:w="1534" w:type="dxa"/>
            <w:shd w:val="clear" w:color="auto" w:fill="FFFFFF"/>
            <w:vAlign w:val="center"/>
          </w:tcPr>
          <w:p>
            <w:pPr>
              <w:snapToGrid w:val="0"/>
              <w:contextualSpacing/>
              <w:jc w:val="center"/>
              <w:rPr>
                <w:kern w:val="0"/>
                <w:sz w:val="24"/>
              </w:rPr>
            </w:pPr>
            <w:r>
              <w:rPr>
                <w:kern w:val="0"/>
                <w:sz w:val="24"/>
              </w:rPr>
              <w:t>7.1</w:t>
            </w:r>
          </w:p>
        </w:tc>
        <w:tc>
          <w:tcPr>
            <w:tcW w:w="1279" w:type="dxa"/>
            <w:shd w:val="clear" w:color="auto" w:fill="FFFFFF"/>
            <w:vAlign w:val="center"/>
          </w:tcPr>
          <w:p>
            <w:pPr>
              <w:snapToGrid w:val="0"/>
              <w:contextualSpacing/>
              <w:jc w:val="center"/>
              <w:rPr>
                <w:kern w:val="0"/>
                <w:sz w:val="24"/>
              </w:rPr>
            </w:pPr>
            <w:r>
              <w:rPr>
                <w:kern w:val="0"/>
                <w:sz w:val="24"/>
              </w:rPr>
              <w:t>已实现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3384" w:type="dxa"/>
            <w:shd w:val="clear" w:color="auto" w:fill="FFFFFF"/>
            <w:vAlign w:val="center"/>
          </w:tcPr>
          <w:p>
            <w:pPr>
              <w:snapToGrid w:val="0"/>
              <w:contextualSpacing/>
              <w:rPr>
                <w:kern w:val="0"/>
                <w:sz w:val="24"/>
              </w:rPr>
            </w:pPr>
            <w:r>
              <w:rPr>
                <w:kern w:val="0"/>
                <w:sz w:val="24"/>
              </w:rPr>
              <w:t>质押贷款额</w:t>
            </w:r>
          </w:p>
        </w:tc>
        <w:tc>
          <w:tcPr>
            <w:tcW w:w="880" w:type="dxa"/>
            <w:shd w:val="clear" w:color="auto" w:fill="FFFFFF"/>
            <w:vAlign w:val="center"/>
          </w:tcPr>
          <w:p>
            <w:pPr>
              <w:snapToGrid w:val="0"/>
              <w:contextualSpacing/>
              <w:jc w:val="center"/>
              <w:rPr>
                <w:kern w:val="0"/>
                <w:sz w:val="24"/>
              </w:rPr>
            </w:pPr>
            <w:r>
              <w:rPr>
                <w:kern w:val="0"/>
                <w:sz w:val="24"/>
              </w:rPr>
              <w:t>亿元</w:t>
            </w:r>
          </w:p>
        </w:tc>
        <w:tc>
          <w:tcPr>
            <w:tcW w:w="1768" w:type="dxa"/>
            <w:shd w:val="clear" w:color="auto" w:fill="FFFFFF"/>
            <w:vAlign w:val="center"/>
          </w:tcPr>
          <w:p>
            <w:pPr>
              <w:snapToGrid w:val="0"/>
              <w:contextualSpacing/>
              <w:jc w:val="center"/>
              <w:rPr>
                <w:kern w:val="0"/>
                <w:sz w:val="24"/>
              </w:rPr>
            </w:pPr>
            <w:r>
              <w:rPr>
                <w:kern w:val="0"/>
                <w:sz w:val="24"/>
              </w:rPr>
              <w:t>150</w:t>
            </w:r>
          </w:p>
        </w:tc>
        <w:tc>
          <w:tcPr>
            <w:tcW w:w="1534" w:type="dxa"/>
            <w:shd w:val="clear" w:color="auto" w:fill="FFFFFF"/>
            <w:vAlign w:val="center"/>
          </w:tcPr>
          <w:p>
            <w:pPr>
              <w:snapToGrid w:val="0"/>
              <w:contextualSpacing/>
              <w:jc w:val="center"/>
              <w:rPr>
                <w:kern w:val="0"/>
                <w:sz w:val="24"/>
              </w:rPr>
            </w:pPr>
            <w:r>
              <w:rPr>
                <w:kern w:val="0"/>
                <w:sz w:val="24"/>
              </w:rPr>
              <w:t>602</w:t>
            </w:r>
          </w:p>
        </w:tc>
        <w:tc>
          <w:tcPr>
            <w:tcW w:w="1279" w:type="dxa"/>
            <w:shd w:val="clear" w:color="auto" w:fill="FFFFFF"/>
            <w:vAlign w:val="center"/>
          </w:tcPr>
          <w:p>
            <w:pPr>
              <w:snapToGrid w:val="0"/>
              <w:contextualSpacing/>
              <w:jc w:val="center"/>
              <w:rPr>
                <w:kern w:val="0"/>
                <w:sz w:val="24"/>
              </w:rPr>
            </w:pPr>
            <w:r>
              <w:rPr>
                <w:kern w:val="0"/>
                <w:sz w:val="24"/>
              </w:rPr>
              <w:t>已实现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3384" w:type="dxa"/>
            <w:shd w:val="clear" w:color="auto" w:fill="FFFFFF"/>
            <w:vAlign w:val="center"/>
          </w:tcPr>
          <w:p>
            <w:pPr>
              <w:snapToGrid w:val="0"/>
              <w:contextualSpacing/>
              <w:rPr>
                <w:kern w:val="0"/>
                <w:sz w:val="24"/>
              </w:rPr>
            </w:pPr>
            <w:r>
              <w:rPr>
                <w:kern w:val="0"/>
                <w:sz w:val="24"/>
              </w:rPr>
              <w:t>知识产权服务业营业收入平均增长率</w:t>
            </w:r>
          </w:p>
        </w:tc>
        <w:tc>
          <w:tcPr>
            <w:tcW w:w="880" w:type="dxa"/>
            <w:shd w:val="clear" w:color="auto" w:fill="FFFFFF"/>
            <w:vAlign w:val="center"/>
          </w:tcPr>
          <w:p>
            <w:pPr>
              <w:snapToGrid w:val="0"/>
              <w:contextualSpacing/>
              <w:jc w:val="center"/>
              <w:rPr>
                <w:kern w:val="0"/>
                <w:sz w:val="24"/>
              </w:rPr>
            </w:pPr>
            <w:r>
              <w:rPr>
                <w:kern w:val="0"/>
                <w:sz w:val="24"/>
              </w:rPr>
              <w:t>%</w:t>
            </w:r>
          </w:p>
        </w:tc>
        <w:tc>
          <w:tcPr>
            <w:tcW w:w="1768" w:type="dxa"/>
            <w:shd w:val="clear" w:color="auto" w:fill="FFFFFF"/>
            <w:vAlign w:val="center"/>
          </w:tcPr>
          <w:p>
            <w:pPr>
              <w:snapToGrid w:val="0"/>
              <w:contextualSpacing/>
              <w:jc w:val="center"/>
              <w:rPr>
                <w:kern w:val="0"/>
                <w:sz w:val="24"/>
              </w:rPr>
            </w:pPr>
            <w:r>
              <w:rPr>
                <w:kern w:val="0"/>
                <w:sz w:val="24"/>
              </w:rPr>
              <w:t>15</w:t>
            </w:r>
          </w:p>
        </w:tc>
        <w:tc>
          <w:tcPr>
            <w:tcW w:w="1534" w:type="dxa"/>
            <w:shd w:val="clear" w:color="auto" w:fill="FFFFFF"/>
            <w:vAlign w:val="center"/>
          </w:tcPr>
          <w:p>
            <w:pPr>
              <w:snapToGrid w:val="0"/>
              <w:contextualSpacing/>
              <w:jc w:val="center"/>
              <w:rPr>
                <w:kern w:val="0"/>
                <w:sz w:val="24"/>
              </w:rPr>
            </w:pPr>
            <w:r>
              <w:rPr>
                <w:kern w:val="0"/>
                <w:sz w:val="24"/>
              </w:rPr>
              <w:t>22</w:t>
            </w:r>
          </w:p>
        </w:tc>
        <w:tc>
          <w:tcPr>
            <w:tcW w:w="1279" w:type="dxa"/>
            <w:shd w:val="clear" w:color="auto" w:fill="FFFFFF"/>
            <w:vAlign w:val="center"/>
          </w:tcPr>
          <w:p>
            <w:pPr>
              <w:snapToGrid w:val="0"/>
              <w:contextualSpacing/>
              <w:jc w:val="center"/>
              <w:rPr>
                <w:kern w:val="0"/>
                <w:sz w:val="24"/>
              </w:rPr>
            </w:pPr>
            <w:r>
              <w:rPr>
                <w:kern w:val="0"/>
                <w:sz w:val="24"/>
              </w:rPr>
              <w:t>已实现</w:t>
            </w:r>
          </w:p>
        </w:tc>
      </w:tr>
    </w:tbl>
    <w:p>
      <w:pPr>
        <w:spacing w:line="590" w:lineRule="exact"/>
        <w:ind w:firstLine="640" w:firstLineChars="200"/>
        <w:outlineLvl w:val="1"/>
        <w:rPr>
          <w:rFonts w:eastAsia="楷体_GB2312"/>
          <w:szCs w:val="32"/>
        </w:rPr>
      </w:pPr>
      <w:bookmarkStart w:id="2" w:name="_Toc56782699"/>
      <w:r>
        <w:rPr>
          <w:rFonts w:eastAsia="楷体_GB2312"/>
          <w:szCs w:val="32"/>
        </w:rPr>
        <w:t>（二）“十四五”时期知识产权工作面临的新机遇新挑战</w:t>
      </w:r>
      <w:bookmarkEnd w:id="2"/>
    </w:p>
    <w:p>
      <w:pPr>
        <w:spacing w:line="590" w:lineRule="exact"/>
        <w:ind w:firstLine="640" w:firstLineChars="200"/>
        <w:rPr>
          <w:szCs w:val="32"/>
        </w:rPr>
      </w:pPr>
      <w:r>
        <w:rPr>
          <w:szCs w:val="32"/>
        </w:rPr>
        <w:t>总体来看，“十三五”期间，浙江省知识产权工作在创造、保护、运用、管理和服务全方位实现了跨越式发展，但与引领型知识产权强省建设目标的要求相比，我省知识产权事业发展还存在以下问题：知识产权创造质量不高，服务供给不足、管理能力薄弱、市场运用不充分还比较突出；知识产权维权周期长、成本高、效果不理想的状况仍没有根本改善，知识产权司法保护地区发展不平衡，经济发达地区案多人少矛盾突出，基层行政执法能力有待强化；知识产权对创新激励和经济竞争力提升的作用尚未充分发挥。</w:t>
      </w:r>
    </w:p>
    <w:p>
      <w:pPr>
        <w:spacing w:line="590" w:lineRule="exact"/>
        <w:ind w:firstLine="640" w:firstLineChars="200"/>
        <w:rPr>
          <w:szCs w:val="32"/>
        </w:rPr>
      </w:pPr>
      <w:r>
        <w:rPr>
          <w:szCs w:val="32"/>
        </w:rPr>
        <w:t>“十四五”时期是向“第二个百年”目标奋进的第一个五年，是浙江忠实践行“八八战略”、奋力打造“重要窗口”，全面开启社会主义现代化先行省建设征程的新起点。当前，世界正经历百年未有之大变局，知识产权国际环境、发展形势、目标要求正在发生深刻变化，要求我们更好地对内激励创新、对外促进开发，推动高标准市场体系建设，发展更高层次的开放型经济，支撑构建以国内大循环为主体，国内国际双循环相互促进的新发展格局。要深入学习贯彻习近平总书记关于知识产权系列重要指示论述精神和党中央国务院决策部署，加快建设社会主义现代化先行省，深入实施人才强省和创新强省首位战略，围绕知识产权创造、运用、保护、管理、服务全链条，坚持问题和效果导向，持之以恒抓好治理体系建设，不断深化知识产权“一件事”改革和数字化转型，使市场在资源配置中起决定性作用和更好发挥政府作用，提升知识产权整体智治水平，乘势而上奋力开启引领型知识产权强省建设新征程。</w:t>
      </w:r>
    </w:p>
    <w:p>
      <w:pPr>
        <w:spacing w:line="590" w:lineRule="exact"/>
        <w:ind w:firstLine="640" w:firstLineChars="200"/>
        <w:outlineLvl w:val="1"/>
        <w:rPr>
          <w:rFonts w:eastAsia="楷体_GB2312"/>
          <w:szCs w:val="32"/>
        </w:rPr>
      </w:pPr>
      <w:bookmarkStart w:id="3" w:name="_Toc56782700"/>
      <w:r>
        <w:rPr>
          <w:rFonts w:eastAsia="楷体_GB2312"/>
          <w:szCs w:val="32"/>
        </w:rPr>
        <w:t>（三）“十四五”时期知识产权工作的总体思路和发展目标</w:t>
      </w:r>
      <w:bookmarkEnd w:id="3"/>
    </w:p>
    <w:p>
      <w:pPr>
        <w:spacing w:line="590" w:lineRule="exact"/>
        <w:ind w:firstLine="643" w:firstLineChars="200"/>
        <w:outlineLvl w:val="1"/>
        <w:rPr>
          <w:b/>
          <w:szCs w:val="32"/>
        </w:rPr>
      </w:pPr>
      <w:bookmarkStart w:id="4" w:name="_Toc56782701"/>
      <w:r>
        <w:rPr>
          <w:b/>
          <w:szCs w:val="32"/>
        </w:rPr>
        <w:t>1.</w:t>
      </w:r>
      <w:r>
        <w:rPr>
          <w:rFonts w:hint="eastAsia"/>
          <w:b/>
          <w:szCs w:val="32"/>
        </w:rPr>
        <w:t xml:space="preserve"> </w:t>
      </w:r>
      <w:r>
        <w:rPr>
          <w:b/>
          <w:szCs w:val="32"/>
        </w:rPr>
        <w:t>指导思想</w:t>
      </w:r>
      <w:bookmarkEnd w:id="4"/>
    </w:p>
    <w:p>
      <w:pPr>
        <w:spacing w:line="590" w:lineRule="exact"/>
        <w:ind w:firstLine="640" w:firstLineChars="200"/>
        <w:rPr>
          <w:szCs w:val="32"/>
        </w:rPr>
      </w:pPr>
      <w:r>
        <w:rPr>
          <w:szCs w:val="32"/>
        </w:rPr>
        <w:t>坚持以习近平新时代中国特色社会主义思想为指导，深入贯彻党的十九大和十九届二中、三中、四中、五中全会精神，落实省委十四届五次、六次、七次、八次全会精神，忠实践行“八八战略”，奋力打造“重要窗口”，聚焦聚力高质量发展、竞争力提升、现代化先行，以引领型知识产权强省建设为统领，以知识产权数量多起来、结构优起来、运用活起来、形象树起来等“四个起来”为目标，以知识产权保护“一件事”集成改革为主线，强化系统思维，坚持整体智治、唯实惟先，积极打造数字化改革引领知识产权强国建设先行省，全面提升知识产权治理能力和水平，充分发挥知识产权在促进建设现代化经济体系、激发创新活力、推动构建新发展格局中的重要作用，为我省争创社会主义现代化先行省作出新贡献。</w:t>
      </w:r>
    </w:p>
    <w:p>
      <w:pPr>
        <w:spacing w:line="590" w:lineRule="exact"/>
        <w:ind w:firstLine="643" w:firstLineChars="200"/>
        <w:outlineLvl w:val="1"/>
        <w:rPr>
          <w:b/>
          <w:szCs w:val="32"/>
        </w:rPr>
      </w:pPr>
      <w:bookmarkStart w:id="5" w:name="_Toc56782702"/>
      <w:r>
        <w:rPr>
          <w:b/>
          <w:szCs w:val="32"/>
        </w:rPr>
        <w:t>2.</w:t>
      </w:r>
      <w:r>
        <w:rPr>
          <w:rFonts w:hint="eastAsia"/>
          <w:b/>
          <w:szCs w:val="32"/>
        </w:rPr>
        <w:t xml:space="preserve"> </w:t>
      </w:r>
      <w:r>
        <w:rPr>
          <w:b/>
          <w:szCs w:val="32"/>
        </w:rPr>
        <w:t>基本原则</w:t>
      </w:r>
      <w:bookmarkEnd w:id="5"/>
    </w:p>
    <w:p>
      <w:pPr>
        <w:spacing w:line="590" w:lineRule="exact"/>
        <w:ind w:firstLine="643" w:firstLineChars="200"/>
        <w:rPr>
          <w:szCs w:val="32"/>
        </w:rPr>
      </w:pPr>
      <w:r>
        <w:rPr>
          <w:b/>
          <w:szCs w:val="32"/>
        </w:rPr>
        <w:t>坚持改革创新，统筹协调。</w:t>
      </w:r>
      <w:r>
        <w:rPr>
          <w:szCs w:val="32"/>
        </w:rPr>
        <w:t>深化知识产权体制机制改革，聚焦新形势下制约我省知识产权治理能力和治理水平现代化的障碍，系统谋划知识产权强省战略体系，修订完善法律法规，针对性地制定重大政策举措，实现战略规划、法律法规、具体政策的有效衔接，形成反映时代特征、符合我省经济社会高质量发展需求的知识产权制度体系。</w:t>
      </w:r>
    </w:p>
    <w:p>
      <w:pPr>
        <w:spacing w:line="590" w:lineRule="exact"/>
        <w:ind w:firstLine="643" w:firstLineChars="200"/>
        <w:rPr>
          <w:szCs w:val="32"/>
        </w:rPr>
      </w:pPr>
      <w:r>
        <w:rPr>
          <w:b/>
          <w:szCs w:val="32"/>
        </w:rPr>
        <w:t>坚持质量为要，效益优先。</w:t>
      </w:r>
      <w:r>
        <w:rPr>
          <w:szCs w:val="32"/>
        </w:rPr>
        <w:t>坚持知识产权高质量发展导向，鼓励更多政策、资源向高价值知识产权倾斜；科学制定考核评价指标体系，充分激发市场主体的创造活力，实现重点领域高价值知识产权倍增，促进知识产权高质量创造、高效益运用。</w:t>
      </w:r>
    </w:p>
    <w:p>
      <w:pPr>
        <w:spacing w:line="590" w:lineRule="exact"/>
        <w:ind w:firstLine="643" w:firstLineChars="200"/>
        <w:rPr>
          <w:szCs w:val="32"/>
        </w:rPr>
      </w:pPr>
      <w:r>
        <w:rPr>
          <w:b/>
          <w:szCs w:val="32"/>
        </w:rPr>
        <w:t>坚持综合治理，严格保护。</w:t>
      </w:r>
      <w:r>
        <w:rPr>
          <w:szCs w:val="32"/>
        </w:rPr>
        <w:t>坚持多元治理、统筹协调、重点突破，不断改革完善知识产权保护体系；加强跨部门间的联动执法运行机制，创新知识产权保护模式和手段；强化司法裁判和行政执法保护，落实惩罚性赔偿制度，逐步完善行业标准及规范，促进保护能力和水平整体提升。</w:t>
      </w:r>
    </w:p>
    <w:p>
      <w:pPr>
        <w:spacing w:line="590" w:lineRule="exact"/>
        <w:ind w:firstLine="643" w:firstLineChars="200"/>
        <w:rPr>
          <w:szCs w:val="32"/>
        </w:rPr>
      </w:pPr>
      <w:r>
        <w:rPr>
          <w:b/>
          <w:szCs w:val="32"/>
        </w:rPr>
        <w:t>坚持数字赋能，整体智治。</w:t>
      </w:r>
      <w:r>
        <w:rPr>
          <w:szCs w:val="32"/>
        </w:rPr>
        <w:t>依托浙江数字经济发展优势，充分运用5G、区块链、大数据、云计算、物联网、人工智能等新技术，深化知识产权创造、运用、保护、管理和服务“一件事”改革，深入推进知识产权智慧治理和制度变革，形成共商、共建、共治、共享的新型治理模式。</w:t>
      </w:r>
    </w:p>
    <w:p>
      <w:pPr>
        <w:spacing w:line="590" w:lineRule="exact"/>
        <w:ind w:firstLine="643" w:firstLineChars="200"/>
        <w:rPr>
          <w:szCs w:val="32"/>
        </w:rPr>
      </w:pPr>
      <w:r>
        <w:rPr>
          <w:b/>
          <w:szCs w:val="32"/>
        </w:rPr>
        <w:t>坚持浙江特色，协调发展。</w:t>
      </w:r>
      <w:r>
        <w:rPr>
          <w:szCs w:val="32"/>
        </w:rPr>
        <w:t>立足我省区域发展优势，以知识产权要素资源整合和精准匹配为主线，着力提升知识产权赋能区域经济和产业发展，高效实现创新链、产业链、价值链深度融合，切实将区域知识产权发展优势转化为产业创新优势、发展优势和竞争优势，高质量支撑现代化经济体系建设。</w:t>
      </w:r>
    </w:p>
    <w:p>
      <w:pPr>
        <w:spacing w:line="590" w:lineRule="exact"/>
        <w:ind w:firstLine="643" w:firstLineChars="200"/>
        <w:outlineLvl w:val="1"/>
        <w:rPr>
          <w:b/>
          <w:szCs w:val="32"/>
        </w:rPr>
      </w:pPr>
      <w:bookmarkStart w:id="6" w:name="_Toc56782703"/>
      <w:r>
        <w:rPr>
          <w:b/>
          <w:szCs w:val="32"/>
        </w:rPr>
        <w:t>3.</w:t>
      </w:r>
      <w:r>
        <w:rPr>
          <w:rFonts w:hint="eastAsia"/>
          <w:b/>
          <w:szCs w:val="32"/>
        </w:rPr>
        <w:t xml:space="preserve"> </w:t>
      </w:r>
      <w:r>
        <w:rPr>
          <w:b/>
          <w:szCs w:val="32"/>
        </w:rPr>
        <w:t>发展目标</w:t>
      </w:r>
      <w:bookmarkEnd w:id="6"/>
    </w:p>
    <w:p>
      <w:pPr>
        <w:spacing w:line="590" w:lineRule="exact"/>
        <w:ind w:firstLine="640" w:firstLineChars="200"/>
        <w:rPr>
          <w:szCs w:val="32"/>
        </w:rPr>
      </w:pPr>
      <w:r>
        <w:rPr>
          <w:szCs w:val="32"/>
        </w:rPr>
        <w:t>围绕“四个起来”，聚焦科创大走廊和高新园区、产业集聚区、小微企业园区等“一廊三区”主战场，强化龙头企业、优势产业和未来产业的知识产权布局，提升核心竞争力；孵化拥有高价值知识产权的中小微企业，提升企业成长力；全面加强知识产权保护、优化营商环境，提升区域聚合力。到2025年，知识产权竞争优势更加明显，知识产权与区域、产业、科技、金融融合发展，技术竞争力、文化软实力、品牌影响力显著提升，知识产权严保护、大保护、快保护、同保护、智保护工作格局基本形成，成为数字化改革引领知识产权强国建设先行省。</w:t>
      </w:r>
    </w:p>
    <w:p>
      <w:pPr>
        <w:spacing w:line="590" w:lineRule="exact"/>
        <w:ind w:firstLine="643" w:firstLineChars="200"/>
        <w:rPr>
          <w:szCs w:val="32"/>
        </w:rPr>
      </w:pPr>
      <w:r>
        <w:rPr>
          <w:b/>
          <w:szCs w:val="32"/>
        </w:rPr>
        <w:t>（1）知识产权制度体系更全、合力更强。</w:t>
      </w:r>
      <w:r>
        <w:rPr>
          <w:szCs w:val="32"/>
        </w:rPr>
        <w:t>强化顶层制度设计，基本形成知识产权保护严格、运用高效、服务优质、开放深入的制度体系。建立健全省部会商和局市会商工作机制，整合各级各类资源，有效赋能区域产业转型升级和经济高质量发展。</w:t>
      </w:r>
    </w:p>
    <w:p>
      <w:pPr>
        <w:spacing w:line="590" w:lineRule="exact"/>
        <w:ind w:firstLine="643" w:firstLineChars="200"/>
        <w:rPr>
          <w:szCs w:val="32"/>
        </w:rPr>
      </w:pPr>
      <w:r>
        <w:rPr>
          <w:b/>
          <w:szCs w:val="32"/>
        </w:rPr>
        <w:t>（2）知识产权创造数量更多、结构更优。</w:t>
      </w:r>
      <w:r>
        <w:rPr>
          <w:szCs w:val="32"/>
        </w:rPr>
        <w:t>推动知识产权和技术创新、标准化、产业化的深度融合，打造一批高价值核心专利、知名品牌和国际标准，建设一批具备核心竞争力的知识产权密集型产业集群。强化关键技术领域自主知识产权创造和储备，加强知识产权信息分析和利用，突出知识产权预警、专利导航对产业、企业发展的引领作用，优化知识产权前瞻布局。到2025年，全省每万人高价值发明专利拥有量达到17件，海外发明专利年授权量达到5000件。</w:t>
      </w:r>
    </w:p>
    <w:p>
      <w:pPr>
        <w:spacing w:line="590" w:lineRule="exact"/>
        <w:ind w:firstLine="643" w:firstLineChars="200"/>
        <w:rPr>
          <w:szCs w:val="32"/>
        </w:rPr>
      </w:pPr>
      <w:r>
        <w:rPr>
          <w:b/>
          <w:szCs w:val="32"/>
        </w:rPr>
        <w:t>（3）知识产权运用市场更活、效益更高</w:t>
      </w:r>
      <w:r>
        <w:rPr>
          <w:szCs w:val="32"/>
        </w:rPr>
        <w:t>。加强高价值知识产权运营平台、知识产权交易平台和知识产权大数据平台建设，推动知识产权转让、许可、资本运营高效运作，实现知识产权质押融资规模继续扩大，知识产权保险、证券化、信用贷款等金融服务充分发展。到2025年，知识产权质押融资金额大幅提升，达到1000亿元。</w:t>
      </w:r>
    </w:p>
    <w:p>
      <w:pPr>
        <w:spacing w:line="590" w:lineRule="exact"/>
        <w:ind w:firstLine="643" w:firstLineChars="200"/>
        <w:rPr>
          <w:szCs w:val="32"/>
        </w:rPr>
      </w:pPr>
      <w:r>
        <w:rPr>
          <w:b/>
          <w:szCs w:val="32"/>
        </w:rPr>
        <w:t>（4）知识产权保护力度更强、形象更好</w:t>
      </w:r>
      <w:r>
        <w:rPr>
          <w:szCs w:val="32"/>
        </w:rPr>
        <w:t>。全面提升知识产权保护系统性、整体性和协同性。知识产权司法保护、行政保护、仲裁调解、社会监督衔接机制更加完善，充分尊重知识价值、严格保护知识产权的营商环境更加优化，知识产权制度激励创新的基本保障作用发挥更加充分。到2025年，知识产权示范市、示范县（市、区）覆盖率以及知识产权保护满意度得到提升。</w:t>
      </w:r>
    </w:p>
    <w:p>
      <w:pPr>
        <w:spacing w:before="240" w:beforeLines="100" w:after="240" w:afterLines="100" w:line="360" w:lineRule="exact"/>
        <w:jc w:val="center"/>
        <w:rPr>
          <w:rFonts w:eastAsia="黑体"/>
          <w:bCs/>
          <w:sz w:val="24"/>
        </w:rPr>
      </w:pPr>
      <w:r>
        <w:rPr>
          <w:rFonts w:eastAsia="黑体"/>
          <w:bCs/>
          <w:sz w:val="28"/>
        </w:rPr>
        <w:t>表2</w:t>
      </w:r>
      <w:r>
        <w:rPr>
          <w:rFonts w:hint="eastAsia" w:eastAsia="黑体"/>
          <w:bCs/>
          <w:sz w:val="28"/>
        </w:rPr>
        <w:t xml:space="preserve">  </w:t>
      </w:r>
      <w:r>
        <w:rPr>
          <w:rFonts w:eastAsia="黑体"/>
          <w:bCs/>
          <w:sz w:val="28"/>
        </w:rPr>
        <w:t>“十四五”时期知识产权发展主要指标</w:t>
      </w:r>
    </w:p>
    <w:tbl>
      <w:tblPr>
        <w:tblStyle w:val="7"/>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15"/>
        <w:gridCol w:w="4783"/>
        <w:gridCol w:w="1068"/>
        <w:gridCol w:w="1133"/>
        <w:gridCol w:w="10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tblHeader/>
          <w:jc w:val="center"/>
        </w:trPr>
        <w:tc>
          <w:tcPr>
            <w:tcW w:w="815" w:type="dxa"/>
            <w:vAlign w:val="center"/>
          </w:tcPr>
          <w:p>
            <w:pPr>
              <w:jc w:val="center"/>
              <w:rPr>
                <w:rFonts w:eastAsia="黑体"/>
                <w:sz w:val="24"/>
              </w:rPr>
            </w:pPr>
            <w:r>
              <w:rPr>
                <w:rFonts w:eastAsia="黑体"/>
                <w:sz w:val="24"/>
              </w:rPr>
              <w:t>序号</w:t>
            </w:r>
          </w:p>
        </w:tc>
        <w:tc>
          <w:tcPr>
            <w:tcW w:w="4783" w:type="dxa"/>
            <w:vAlign w:val="center"/>
          </w:tcPr>
          <w:p>
            <w:pPr>
              <w:jc w:val="center"/>
              <w:rPr>
                <w:rFonts w:eastAsia="黑体"/>
                <w:sz w:val="24"/>
              </w:rPr>
            </w:pPr>
            <w:r>
              <w:rPr>
                <w:rFonts w:eastAsia="黑体"/>
                <w:sz w:val="24"/>
              </w:rPr>
              <w:t>主</w:t>
            </w:r>
            <w:r>
              <w:rPr>
                <w:rFonts w:hint="eastAsia" w:eastAsia="黑体"/>
                <w:sz w:val="24"/>
              </w:rPr>
              <w:t xml:space="preserve">  </w:t>
            </w:r>
            <w:r>
              <w:rPr>
                <w:rFonts w:eastAsia="黑体"/>
                <w:sz w:val="24"/>
              </w:rPr>
              <w:t>要</w:t>
            </w:r>
            <w:r>
              <w:rPr>
                <w:rFonts w:hint="eastAsia" w:eastAsia="黑体"/>
                <w:sz w:val="24"/>
              </w:rPr>
              <w:t xml:space="preserve">  </w:t>
            </w:r>
            <w:r>
              <w:rPr>
                <w:rFonts w:eastAsia="黑体"/>
                <w:sz w:val="24"/>
              </w:rPr>
              <w:t>指</w:t>
            </w:r>
            <w:r>
              <w:rPr>
                <w:rFonts w:hint="eastAsia" w:eastAsia="黑体"/>
                <w:sz w:val="24"/>
              </w:rPr>
              <w:t xml:space="preserve">  </w:t>
            </w:r>
            <w:r>
              <w:rPr>
                <w:rFonts w:eastAsia="黑体"/>
                <w:sz w:val="24"/>
              </w:rPr>
              <w:t>标</w:t>
            </w:r>
          </w:p>
        </w:tc>
        <w:tc>
          <w:tcPr>
            <w:tcW w:w="1068" w:type="dxa"/>
            <w:vAlign w:val="center"/>
          </w:tcPr>
          <w:p>
            <w:pPr>
              <w:jc w:val="center"/>
              <w:rPr>
                <w:rFonts w:eastAsia="黑体"/>
                <w:sz w:val="24"/>
              </w:rPr>
            </w:pPr>
            <w:r>
              <w:rPr>
                <w:rFonts w:eastAsia="黑体"/>
                <w:sz w:val="24"/>
              </w:rPr>
              <w:t>2020年实现值</w:t>
            </w:r>
          </w:p>
        </w:tc>
        <w:tc>
          <w:tcPr>
            <w:tcW w:w="1133" w:type="dxa"/>
            <w:vAlign w:val="center"/>
          </w:tcPr>
          <w:p>
            <w:pPr>
              <w:jc w:val="center"/>
              <w:rPr>
                <w:rFonts w:hint="eastAsia" w:eastAsia="黑体"/>
                <w:sz w:val="24"/>
              </w:rPr>
            </w:pPr>
            <w:r>
              <w:rPr>
                <w:rFonts w:eastAsia="黑体"/>
                <w:sz w:val="24"/>
              </w:rPr>
              <w:t>2025年</w:t>
            </w:r>
          </w:p>
          <w:p>
            <w:pPr>
              <w:jc w:val="center"/>
              <w:rPr>
                <w:rFonts w:eastAsia="黑体"/>
                <w:sz w:val="24"/>
              </w:rPr>
            </w:pPr>
            <w:r>
              <w:rPr>
                <w:rFonts w:eastAsia="黑体"/>
                <w:sz w:val="24"/>
              </w:rPr>
              <w:t>目标值</w:t>
            </w:r>
          </w:p>
        </w:tc>
        <w:tc>
          <w:tcPr>
            <w:tcW w:w="1046" w:type="dxa"/>
            <w:vAlign w:val="center"/>
          </w:tcPr>
          <w:p>
            <w:pPr>
              <w:jc w:val="center"/>
              <w:rPr>
                <w:rFonts w:eastAsia="黑体"/>
                <w:sz w:val="24"/>
              </w:rPr>
            </w:pPr>
            <w:r>
              <w:rPr>
                <w:rFonts w:eastAsia="黑体"/>
                <w:sz w:val="24"/>
              </w:rPr>
              <w:t>指标</w:t>
            </w:r>
          </w:p>
          <w:p>
            <w:pPr>
              <w:jc w:val="center"/>
              <w:rPr>
                <w:rFonts w:eastAsia="黑体"/>
                <w:sz w:val="24"/>
              </w:rPr>
            </w:pPr>
            <w:r>
              <w:rPr>
                <w:rFonts w:eastAsia="黑体"/>
                <w:sz w:val="24"/>
              </w:rPr>
              <w:t>属性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1</w:t>
            </w:r>
          </w:p>
        </w:tc>
        <w:tc>
          <w:tcPr>
            <w:tcW w:w="4783" w:type="dxa"/>
            <w:vAlign w:val="center"/>
          </w:tcPr>
          <w:p>
            <w:pPr>
              <w:rPr>
                <w:kern w:val="0"/>
                <w:sz w:val="24"/>
              </w:rPr>
            </w:pPr>
            <w:r>
              <w:rPr>
                <w:kern w:val="0"/>
                <w:sz w:val="24"/>
              </w:rPr>
              <w:t>每万人高价值发明专利拥有量（件）</w:t>
            </w:r>
          </w:p>
        </w:tc>
        <w:tc>
          <w:tcPr>
            <w:tcW w:w="1068" w:type="dxa"/>
            <w:vAlign w:val="center"/>
          </w:tcPr>
          <w:p>
            <w:pPr>
              <w:jc w:val="center"/>
              <w:rPr>
                <w:kern w:val="0"/>
                <w:sz w:val="24"/>
              </w:rPr>
            </w:pPr>
            <w:r>
              <w:rPr>
                <w:kern w:val="0"/>
                <w:sz w:val="24"/>
              </w:rPr>
              <w:t>11.1</w:t>
            </w:r>
          </w:p>
        </w:tc>
        <w:tc>
          <w:tcPr>
            <w:tcW w:w="1133" w:type="dxa"/>
            <w:vAlign w:val="center"/>
          </w:tcPr>
          <w:p>
            <w:pPr>
              <w:jc w:val="center"/>
              <w:rPr>
                <w:kern w:val="0"/>
                <w:sz w:val="24"/>
              </w:rPr>
            </w:pPr>
            <w:r>
              <w:rPr>
                <w:kern w:val="0"/>
                <w:sz w:val="24"/>
              </w:rPr>
              <w:t>17</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2</w:t>
            </w:r>
          </w:p>
        </w:tc>
        <w:tc>
          <w:tcPr>
            <w:tcW w:w="4783" w:type="dxa"/>
            <w:vAlign w:val="center"/>
          </w:tcPr>
          <w:p>
            <w:pPr>
              <w:rPr>
                <w:kern w:val="0"/>
                <w:sz w:val="24"/>
              </w:rPr>
            </w:pPr>
            <w:r>
              <w:rPr>
                <w:kern w:val="0"/>
                <w:sz w:val="24"/>
              </w:rPr>
              <w:t>海外发明专利授权量（件）</w:t>
            </w:r>
          </w:p>
        </w:tc>
        <w:tc>
          <w:tcPr>
            <w:tcW w:w="1068" w:type="dxa"/>
            <w:vAlign w:val="center"/>
          </w:tcPr>
          <w:p>
            <w:pPr>
              <w:jc w:val="center"/>
              <w:rPr>
                <w:kern w:val="0"/>
                <w:sz w:val="24"/>
              </w:rPr>
            </w:pPr>
            <w:r>
              <w:rPr>
                <w:kern w:val="0"/>
                <w:sz w:val="24"/>
              </w:rPr>
              <w:t>3000</w:t>
            </w:r>
          </w:p>
        </w:tc>
        <w:tc>
          <w:tcPr>
            <w:tcW w:w="1133" w:type="dxa"/>
            <w:vAlign w:val="center"/>
          </w:tcPr>
          <w:p>
            <w:pPr>
              <w:jc w:val="center"/>
              <w:rPr>
                <w:kern w:val="0"/>
                <w:sz w:val="24"/>
              </w:rPr>
            </w:pPr>
            <w:r>
              <w:rPr>
                <w:kern w:val="0"/>
                <w:sz w:val="24"/>
              </w:rPr>
              <w:t>5000</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3</w:t>
            </w:r>
          </w:p>
        </w:tc>
        <w:tc>
          <w:tcPr>
            <w:tcW w:w="4783" w:type="dxa"/>
            <w:vAlign w:val="center"/>
          </w:tcPr>
          <w:p>
            <w:pPr>
              <w:rPr>
                <w:kern w:val="0"/>
                <w:sz w:val="24"/>
              </w:rPr>
            </w:pPr>
            <w:r>
              <w:rPr>
                <w:kern w:val="0"/>
                <w:sz w:val="24"/>
              </w:rPr>
              <w:t>有效发明专利数量（万件）</w:t>
            </w:r>
          </w:p>
        </w:tc>
        <w:tc>
          <w:tcPr>
            <w:tcW w:w="1068" w:type="dxa"/>
            <w:vAlign w:val="center"/>
          </w:tcPr>
          <w:p>
            <w:pPr>
              <w:jc w:val="center"/>
              <w:rPr>
                <w:kern w:val="0"/>
                <w:sz w:val="24"/>
              </w:rPr>
            </w:pPr>
            <w:r>
              <w:rPr>
                <w:kern w:val="0"/>
                <w:sz w:val="24"/>
              </w:rPr>
              <w:t>20</w:t>
            </w:r>
          </w:p>
        </w:tc>
        <w:tc>
          <w:tcPr>
            <w:tcW w:w="1133" w:type="dxa"/>
            <w:vAlign w:val="center"/>
          </w:tcPr>
          <w:p>
            <w:pPr>
              <w:jc w:val="center"/>
              <w:rPr>
                <w:kern w:val="0"/>
                <w:sz w:val="24"/>
              </w:rPr>
            </w:pPr>
            <w:r>
              <w:rPr>
                <w:kern w:val="0"/>
                <w:sz w:val="24"/>
              </w:rPr>
              <w:t>30</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4</w:t>
            </w:r>
          </w:p>
        </w:tc>
        <w:tc>
          <w:tcPr>
            <w:tcW w:w="4783" w:type="dxa"/>
            <w:vAlign w:val="center"/>
          </w:tcPr>
          <w:p>
            <w:pPr>
              <w:rPr>
                <w:kern w:val="0"/>
                <w:sz w:val="24"/>
              </w:rPr>
            </w:pPr>
            <w:r>
              <w:rPr>
                <w:kern w:val="0"/>
                <w:sz w:val="24"/>
              </w:rPr>
              <w:t>三大重大产业有效发明专利数量（万件）</w:t>
            </w:r>
          </w:p>
        </w:tc>
        <w:tc>
          <w:tcPr>
            <w:tcW w:w="1068" w:type="dxa"/>
            <w:vAlign w:val="center"/>
          </w:tcPr>
          <w:p>
            <w:pPr>
              <w:jc w:val="center"/>
              <w:rPr>
                <w:kern w:val="0"/>
                <w:sz w:val="24"/>
              </w:rPr>
            </w:pPr>
            <w:r>
              <w:rPr>
                <w:kern w:val="0"/>
                <w:sz w:val="24"/>
              </w:rPr>
              <w:t>9</w:t>
            </w:r>
          </w:p>
        </w:tc>
        <w:tc>
          <w:tcPr>
            <w:tcW w:w="1133" w:type="dxa"/>
            <w:vAlign w:val="center"/>
          </w:tcPr>
          <w:p>
            <w:pPr>
              <w:jc w:val="center"/>
              <w:rPr>
                <w:kern w:val="0"/>
                <w:sz w:val="24"/>
              </w:rPr>
            </w:pPr>
            <w:r>
              <w:rPr>
                <w:kern w:val="0"/>
                <w:sz w:val="24"/>
              </w:rPr>
              <w:t>15</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5</w:t>
            </w:r>
          </w:p>
        </w:tc>
        <w:tc>
          <w:tcPr>
            <w:tcW w:w="4783" w:type="dxa"/>
            <w:vAlign w:val="center"/>
          </w:tcPr>
          <w:p>
            <w:pPr>
              <w:rPr>
                <w:kern w:val="0"/>
                <w:sz w:val="24"/>
              </w:rPr>
            </w:pPr>
            <w:r>
              <w:rPr>
                <w:kern w:val="0"/>
                <w:sz w:val="24"/>
              </w:rPr>
              <w:t>有效注册商标量（万件）</w:t>
            </w:r>
          </w:p>
        </w:tc>
        <w:tc>
          <w:tcPr>
            <w:tcW w:w="1068" w:type="dxa"/>
            <w:vAlign w:val="center"/>
          </w:tcPr>
          <w:p>
            <w:pPr>
              <w:jc w:val="center"/>
              <w:rPr>
                <w:kern w:val="0"/>
                <w:sz w:val="24"/>
              </w:rPr>
            </w:pPr>
            <w:r>
              <w:rPr>
                <w:kern w:val="0"/>
                <w:sz w:val="24"/>
              </w:rPr>
              <w:t>300</w:t>
            </w:r>
          </w:p>
        </w:tc>
        <w:tc>
          <w:tcPr>
            <w:tcW w:w="1133" w:type="dxa"/>
            <w:vAlign w:val="center"/>
          </w:tcPr>
          <w:p>
            <w:pPr>
              <w:jc w:val="center"/>
              <w:rPr>
                <w:kern w:val="0"/>
                <w:sz w:val="24"/>
              </w:rPr>
            </w:pPr>
            <w:r>
              <w:rPr>
                <w:kern w:val="0"/>
                <w:sz w:val="24"/>
              </w:rPr>
              <w:t>400</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6</w:t>
            </w:r>
          </w:p>
        </w:tc>
        <w:tc>
          <w:tcPr>
            <w:tcW w:w="4783" w:type="dxa"/>
            <w:vAlign w:val="center"/>
          </w:tcPr>
          <w:p>
            <w:pPr>
              <w:rPr>
                <w:kern w:val="0"/>
                <w:sz w:val="24"/>
              </w:rPr>
            </w:pPr>
            <w:r>
              <w:rPr>
                <w:kern w:val="0"/>
                <w:sz w:val="24"/>
              </w:rPr>
              <w:t>马德里国际注册商标拥有量（件）</w:t>
            </w:r>
          </w:p>
        </w:tc>
        <w:tc>
          <w:tcPr>
            <w:tcW w:w="1068" w:type="dxa"/>
            <w:vAlign w:val="center"/>
          </w:tcPr>
          <w:p>
            <w:pPr>
              <w:jc w:val="center"/>
              <w:rPr>
                <w:sz w:val="24"/>
              </w:rPr>
            </w:pPr>
            <w:r>
              <w:rPr>
                <w:kern w:val="0"/>
                <w:sz w:val="24"/>
              </w:rPr>
              <w:t>5900</w:t>
            </w:r>
          </w:p>
        </w:tc>
        <w:tc>
          <w:tcPr>
            <w:tcW w:w="1133" w:type="dxa"/>
            <w:vAlign w:val="center"/>
          </w:tcPr>
          <w:p>
            <w:pPr>
              <w:jc w:val="center"/>
              <w:rPr>
                <w:sz w:val="24"/>
              </w:rPr>
            </w:pPr>
            <w:r>
              <w:rPr>
                <w:kern w:val="0"/>
                <w:sz w:val="24"/>
              </w:rPr>
              <w:t>7500</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7</w:t>
            </w:r>
          </w:p>
        </w:tc>
        <w:tc>
          <w:tcPr>
            <w:tcW w:w="4783" w:type="dxa"/>
            <w:vAlign w:val="center"/>
          </w:tcPr>
          <w:p>
            <w:pPr>
              <w:rPr>
                <w:kern w:val="0"/>
                <w:sz w:val="24"/>
              </w:rPr>
            </w:pPr>
            <w:r>
              <w:rPr>
                <w:kern w:val="0"/>
                <w:sz w:val="24"/>
              </w:rPr>
              <w:t>作品著作权登记量（万件）</w:t>
            </w:r>
          </w:p>
        </w:tc>
        <w:tc>
          <w:tcPr>
            <w:tcW w:w="1068" w:type="dxa"/>
            <w:vAlign w:val="center"/>
          </w:tcPr>
          <w:p>
            <w:pPr>
              <w:jc w:val="center"/>
              <w:rPr>
                <w:kern w:val="0"/>
                <w:sz w:val="24"/>
              </w:rPr>
            </w:pPr>
            <w:r>
              <w:rPr>
                <w:kern w:val="0"/>
                <w:sz w:val="24"/>
              </w:rPr>
              <w:t>2.5</w:t>
            </w:r>
          </w:p>
        </w:tc>
        <w:tc>
          <w:tcPr>
            <w:tcW w:w="1133" w:type="dxa"/>
            <w:vAlign w:val="center"/>
          </w:tcPr>
          <w:p>
            <w:pPr>
              <w:jc w:val="center"/>
              <w:rPr>
                <w:kern w:val="0"/>
                <w:sz w:val="24"/>
              </w:rPr>
            </w:pPr>
            <w:r>
              <w:rPr>
                <w:kern w:val="0"/>
                <w:sz w:val="24"/>
              </w:rPr>
              <w:t>4.2</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8</w:t>
            </w:r>
          </w:p>
        </w:tc>
        <w:tc>
          <w:tcPr>
            <w:tcW w:w="4783" w:type="dxa"/>
            <w:vAlign w:val="center"/>
          </w:tcPr>
          <w:p>
            <w:pPr>
              <w:rPr>
                <w:kern w:val="0"/>
                <w:sz w:val="24"/>
              </w:rPr>
            </w:pPr>
            <w:r>
              <w:rPr>
                <w:kern w:val="0"/>
                <w:sz w:val="24"/>
              </w:rPr>
              <w:t>地理标志有效量（件）</w:t>
            </w:r>
          </w:p>
        </w:tc>
        <w:tc>
          <w:tcPr>
            <w:tcW w:w="1068" w:type="dxa"/>
            <w:vAlign w:val="center"/>
          </w:tcPr>
          <w:p>
            <w:pPr>
              <w:jc w:val="center"/>
              <w:rPr>
                <w:kern w:val="0"/>
                <w:sz w:val="24"/>
              </w:rPr>
            </w:pPr>
            <w:r>
              <w:rPr>
                <w:kern w:val="0"/>
                <w:sz w:val="24"/>
              </w:rPr>
              <w:t>376</w:t>
            </w:r>
          </w:p>
        </w:tc>
        <w:tc>
          <w:tcPr>
            <w:tcW w:w="1133" w:type="dxa"/>
            <w:vAlign w:val="center"/>
          </w:tcPr>
          <w:p>
            <w:pPr>
              <w:jc w:val="center"/>
              <w:rPr>
                <w:kern w:val="0"/>
                <w:sz w:val="24"/>
              </w:rPr>
            </w:pPr>
            <w:r>
              <w:rPr>
                <w:kern w:val="0"/>
                <w:sz w:val="24"/>
              </w:rPr>
              <w:t>450</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9</w:t>
            </w:r>
          </w:p>
        </w:tc>
        <w:tc>
          <w:tcPr>
            <w:tcW w:w="4783" w:type="dxa"/>
            <w:vAlign w:val="center"/>
          </w:tcPr>
          <w:p>
            <w:pPr>
              <w:rPr>
                <w:kern w:val="0"/>
                <w:sz w:val="24"/>
              </w:rPr>
            </w:pPr>
            <w:r>
              <w:rPr>
                <w:kern w:val="0"/>
                <w:sz w:val="24"/>
              </w:rPr>
              <w:t>知识产权质押融资金额（亿元）</w:t>
            </w:r>
          </w:p>
        </w:tc>
        <w:tc>
          <w:tcPr>
            <w:tcW w:w="1068" w:type="dxa"/>
            <w:vAlign w:val="center"/>
          </w:tcPr>
          <w:p>
            <w:pPr>
              <w:jc w:val="center"/>
              <w:rPr>
                <w:kern w:val="0"/>
                <w:sz w:val="24"/>
              </w:rPr>
            </w:pPr>
            <w:r>
              <w:rPr>
                <w:kern w:val="0"/>
                <w:sz w:val="24"/>
              </w:rPr>
              <w:t>602</w:t>
            </w:r>
          </w:p>
        </w:tc>
        <w:tc>
          <w:tcPr>
            <w:tcW w:w="1133" w:type="dxa"/>
            <w:vAlign w:val="center"/>
          </w:tcPr>
          <w:p>
            <w:pPr>
              <w:jc w:val="center"/>
              <w:rPr>
                <w:kern w:val="0"/>
                <w:sz w:val="24"/>
              </w:rPr>
            </w:pPr>
            <w:r>
              <w:rPr>
                <w:kern w:val="0"/>
                <w:sz w:val="24"/>
              </w:rPr>
              <w:t>1000</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10</w:t>
            </w:r>
          </w:p>
        </w:tc>
        <w:tc>
          <w:tcPr>
            <w:tcW w:w="4783" w:type="dxa"/>
            <w:vAlign w:val="center"/>
          </w:tcPr>
          <w:p>
            <w:pPr>
              <w:rPr>
                <w:kern w:val="0"/>
                <w:sz w:val="24"/>
              </w:rPr>
            </w:pPr>
            <w:r>
              <w:rPr>
                <w:kern w:val="0"/>
                <w:sz w:val="24"/>
              </w:rPr>
              <w:t>专利权转让、许可数量（万件）</w:t>
            </w:r>
          </w:p>
        </w:tc>
        <w:tc>
          <w:tcPr>
            <w:tcW w:w="1068" w:type="dxa"/>
            <w:vAlign w:val="center"/>
          </w:tcPr>
          <w:p>
            <w:pPr>
              <w:jc w:val="center"/>
              <w:rPr>
                <w:kern w:val="0"/>
                <w:sz w:val="24"/>
              </w:rPr>
            </w:pPr>
            <w:r>
              <w:rPr>
                <w:kern w:val="0"/>
                <w:sz w:val="24"/>
              </w:rPr>
              <w:t>3.5</w:t>
            </w:r>
          </w:p>
        </w:tc>
        <w:tc>
          <w:tcPr>
            <w:tcW w:w="1133" w:type="dxa"/>
            <w:vAlign w:val="center"/>
          </w:tcPr>
          <w:p>
            <w:pPr>
              <w:jc w:val="center"/>
              <w:rPr>
                <w:kern w:val="0"/>
                <w:sz w:val="24"/>
              </w:rPr>
            </w:pPr>
            <w:r>
              <w:rPr>
                <w:kern w:val="0"/>
                <w:sz w:val="24"/>
              </w:rPr>
              <w:t>10</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11</w:t>
            </w:r>
          </w:p>
        </w:tc>
        <w:tc>
          <w:tcPr>
            <w:tcW w:w="4783" w:type="dxa"/>
            <w:vAlign w:val="center"/>
          </w:tcPr>
          <w:p>
            <w:pPr>
              <w:rPr>
                <w:kern w:val="0"/>
                <w:sz w:val="24"/>
              </w:rPr>
            </w:pPr>
            <w:r>
              <w:rPr>
                <w:kern w:val="0"/>
                <w:sz w:val="24"/>
              </w:rPr>
              <w:t>国家级知识产权保护平台数量（家）</w:t>
            </w:r>
          </w:p>
        </w:tc>
        <w:tc>
          <w:tcPr>
            <w:tcW w:w="1068" w:type="dxa"/>
            <w:vAlign w:val="center"/>
          </w:tcPr>
          <w:p>
            <w:pPr>
              <w:jc w:val="center"/>
              <w:rPr>
                <w:kern w:val="0"/>
                <w:sz w:val="24"/>
              </w:rPr>
            </w:pPr>
            <w:r>
              <w:rPr>
                <w:kern w:val="0"/>
                <w:sz w:val="24"/>
              </w:rPr>
              <w:t>5</w:t>
            </w:r>
          </w:p>
        </w:tc>
        <w:tc>
          <w:tcPr>
            <w:tcW w:w="1133" w:type="dxa"/>
            <w:vAlign w:val="center"/>
          </w:tcPr>
          <w:p>
            <w:pPr>
              <w:jc w:val="center"/>
              <w:rPr>
                <w:kern w:val="0"/>
                <w:sz w:val="24"/>
              </w:rPr>
            </w:pPr>
            <w:r>
              <w:rPr>
                <w:kern w:val="0"/>
                <w:sz w:val="24"/>
              </w:rPr>
              <w:t>15</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12</w:t>
            </w:r>
          </w:p>
        </w:tc>
        <w:tc>
          <w:tcPr>
            <w:tcW w:w="4783" w:type="dxa"/>
            <w:vAlign w:val="center"/>
          </w:tcPr>
          <w:p>
            <w:pPr>
              <w:rPr>
                <w:kern w:val="0"/>
                <w:sz w:val="24"/>
                <w:highlight w:val="yellow"/>
              </w:rPr>
            </w:pPr>
            <w:r>
              <w:rPr>
                <w:kern w:val="0"/>
                <w:sz w:val="24"/>
              </w:rPr>
              <w:t>商业秘密保护示范基地（家）</w:t>
            </w:r>
          </w:p>
        </w:tc>
        <w:tc>
          <w:tcPr>
            <w:tcW w:w="1068" w:type="dxa"/>
            <w:vAlign w:val="center"/>
          </w:tcPr>
          <w:p>
            <w:pPr>
              <w:jc w:val="center"/>
              <w:rPr>
                <w:sz w:val="24"/>
              </w:rPr>
            </w:pPr>
            <w:r>
              <w:rPr>
                <w:sz w:val="24"/>
              </w:rPr>
              <w:t>250</w:t>
            </w:r>
          </w:p>
        </w:tc>
        <w:tc>
          <w:tcPr>
            <w:tcW w:w="1133" w:type="dxa"/>
            <w:vAlign w:val="center"/>
          </w:tcPr>
          <w:p>
            <w:pPr>
              <w:jc w:val="center"/>
              <w:rPr>
                <w:sz w:val="24"/>
              </w:rPr>
            </w:pPr>
            <w:r>
              <w:rPr>
                <w:sz w:val="24"/>
              </w:rPr>
              <w:t>500</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13</w:t>
            </w:r>
          </w:p>
        </w:tc>
        <w:tc>
          <w:tcPr>
            <w:tcW w:w="4783" w:type="dxa"/>
            <w:vAlign w:val="center"/>
          </w:tcPr>
          <w:p>
            <w:pPr>
              <w:rPr>
                <w:kern w:val="0"/>
                <w:sz w:val="24"/>
              </w:rPr>
            </w:pPr>
            <w:r>
              <w:rPr>
                <w:kern w:val="0"/>
                <w:sz w:val="24"/>
              </w:rPr>
              <w:t>知识产权示范县（市、区）覆盖率（%）</w:t>
            </w:r>
          </w:p>
        </w:tc>
        <w:tc>
          <w:tcPr>
            <w:tcW w:w="1068" w:type="dxa"/>
            <w:vAlign w:val="center"/>
          </w:tcPr>
          <w:p>
            <w:pPr>
              <w:jc w:val="center"/>
              <w:rPr>
                <w:kern w:val="0"/>
                <w:sz w:val="24"/>
              </w:rPr>
            </w:pPr>
            <w:r>
              <w:rPr>
                <w:kern w:val="0"/>
                <w:sz w:val="24"/>
              </w:rPr>
              <w:t>77.5</w:t>
            </w:r>
          </w:p>
        </w:tc>
        <w:tc>
          <w:tcPr>
            <w:tcW w:w="1133" w:type="dxa"/>
            <w:vAlign w:val="center"/>
          </w:tcPr>
          <w:p>
            <w:pPr>
              <w:jc w:val="center"/>
              <w:rPr>
                <w:kern w:val="0"/>
                <w:sz w:val="24"/>
              </w:rPr>
            </w:pPr>
            <w:r>
              <w:rPr>
                <w:kern w:val="0"/>
                <w:sz w:val="24"/>
              </w:rPr>
              <w:t>90</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14</w:t>
            </w:r>
          </w:p>
        </w:tc>
        <w:tc>
          <w:tcPr>
            <w:tcW w:w="4783" w:type="dxa"/>
            <w:vAlign w:val="center"/>
          </w:tcPr>
          <w:p>
            <w:pPr>
              <w:rPr>
                <w:kern w:val="0"/>
                <w:sz w:val="24"/>
              </w:rPr>
            </w:pPr>
            <w:r>
              <w:rPr>
                <w:kern w:val="0"/>
                <w:sz w:val="24"/>
              </w:rPr>
              <w:t>知识产权示范优势企业（家）</w:t>
            </w:r>
          </w:p>
        </w:tc>
        <w:tc>
          <w:tcPr>
            <w:tcW w:w="1068" w:type="dxa"/>
            <w:vAlign w:val="center"/>
          </w:tcPr>
          <w:p>
            <w:pPr>
              <w:jc w:val="center"/>
              <w:rPr>
                <w:kern w:val="0"/>
                <w:sz w:val="24"/>
              </w:rPr>
            </w:pPr>
            <w:r>
              <w:rPr>
                <w:kern w:val="0"/>
                <w:sz w:val="24"/>
              </w:rPr>
              <w:t>455</w:t>
            </w:r>
          </w:p>
        </w:tc>
        <w:tc>
          <w:tcPr>
            <w:tcW w:w="1133" w:type="dxa"/>
            <w:vAlign w:val="center"/>
          </w:tcPr>
          <w:p>
            <w:pPr>
              <w:jc w:val="center"/>
              <w:rPr>
                <w:kern w:val="0"/>
                <w:sz w:val="24"/>
              </w:rPr>
            </w:pPr>
            <w:r>
              <w:rPr>
                <w:kern w:val="0"/>
                <w:sz w:val="24"/>
              </w:rPr>
              <w:t>1000</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15</w:t>
            </w:r>
          </w:p>
        </w:tc>
        <w:tc>
          <w:tcPr>
            <w:tcW w:w="4783" w:type="dxa"/>
            <w:vAlign w:val="center"/>
          </w:tcPr>
          <w:p>
            <w:pPr>
              <w:rPr>
                <w:sz w:val="24"/>
              </w:rPr>
            </w:pPr>
            <w:r>
              <w:rPr>
                <w:kern w:val="0"/>
                <w:sz w:val="24"/>
              </w:rPr>
              <w:t>知识产权服务业集聚区（家）</w:t>
            </w:r>
          </w:p>
        </w:tc>
        <w:tc>
          <w:tcPr>
            <w:tcW w:w="1068" w:type="dxa"/>
            <w:vAlign w:val="center"/>
          </w:tcPr>
          <w:p>
            <w:pPr>
              <w:jc w:val="center"/>
              <w:rPr>
                <w:kern w:val="0"/>
                <w:sz w:val="24"/>
              </w:rPr>
            </w:pPr>
            <w:r>
              <w:rPr>
                <w:kern w:val="0"/>
                <w:sz w:val="24"/>
              </w:rPr>
              <w:t>13</w:t>
            </w:r>
          </w:p>
        </w:tc>
        <w:tc>
          <w:tcPr>
            <w:tcW w:w="1133" w:type="dxa"/>
            <w:vAlign w:val="center"/>
          </w:tcPr>
          <w:p>
            <w:pPr>
              <w:jc w:val="center"/>
              <w:rPr>
                <w:kern w:val="0"/>
                <w:sz w:val="24"/>
              </w:rPr>
            </w:pPr>
            <w:r>
              <w:rPr>
                <w:kern w:val="0"/>
                <w:sz w:val="24"/>
              </w:rPr>
              <w:t>30</w:t>
            </w:r>
          </w:p>
        </w:tc>
        <w:tc>
          <w:tcPr>
            <w:tcW w:w="1046" w:type="dxa"/>
            <w:vAlign w:val="center"/>
          </w:tcPr>
          <w:p>
            <w:pPr>
              <w:jc w:val="center"/>
              <w:rPr>
                <w:sz w:val="24"/>
              </w:rPr>
            </w:pPr>
            <w:r>
              <w:rPr>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815" w:type="dxa"/>
            <w:vAlign w:val="center"/>
          </w:tcPr>
          <w:p>
            <w:pPr>
              <w:jc w:val="center"/>
              <w:rPr>
                <w:sz w:val="24"/>
              </w:rPr>
            </w:pPr>
            <w:r>
              <w:rPr>
                <w:sz w:val="24"/>
              </w:rPr>
              <w:t>16</w:t>
            </w:r>
          </w:p>
        </w:tc>
        <w:tc>
          <w:tcPr>
            <w:tcW w:w="4783" w:type="dxa"/>
            <w:vAlign w:val="center"/>
          </w:tcPr>
          <w:p>
            <w:pPr>
              <w:pStyle w:val="2"/>
              <w:spacing w:after="0" w:line="240" w:lineRule="auto"/>
              <w:ind w:firstLine="0" w:firstLineChars="0"/>
              <w:rPr>
                <w:sz w:val="24"/>
              </w:rPr>
            </w:pPr>
            <w:r>
              <w:rPr>
                <w:sz w:val="24"/>
              </w:rPr>
              <w:t>商标品牌指导服务站（家）</w:t>
            </w:r>
          </w:p>
        </w:tc>
        <w:tc>
          <w:tcPr>
            <w:tcW w:w="1068" w:type="dxa"/>
            <w:vAlign w:val="center"/>
          </w:tcPr>
          <w:p>
            <w:pPr>
              <w:jc w:val="center"/>
              <w:rPr>
                <w:sz w:val="24"/>
              </w:rPr>
            </w:pPr>
            <w:r>
              <w:rPr>
                <w:sz w:val="24"/>
              </w:rPr>
              <w:t>204</w:t>
            </w:r>
          </w:p>
        </w:tc>
        <w:tc>
          <w:tcPr>
            <w:tcW w:w="1133" w:type="dxa"/>
            <w:vAlign w:val="center"/>
          </w:tcPr>
          <w:p>
            <w:pPr>
              <w:jc w:val="center"/>
              <w:rPr>
                <w:sz w:val="24"/>
              </w:rPr>
            </w:pPr>
            <w:r>
              <w:rPr>
                <w:sz w:val="24"/>
              </w:rPr>
              <w:t>500</w:t>
            </w:r>
          </w:p>
        </w:tc>
        <w:tc>
          <w:tcPr>
            <w:tcW w:w="1046" w:type="dxa"/>
            <w:vAlign w:val="center"/>
          </w:tcPr>
          <w:p>
            <w:pPr>
              <w:jc w:val="center"/>
              <w:rPr>
                <w:sz w:val="24"/>
              </w:rPr>
            </w:pPr>
            <w:r>
              <w:rPr>
                <w:sz w:val="24"/>
              </w:rPr>
              <w:t>预期性</w:t>
            </w:r>
          </w:p>
        </w:tc>
      </w:tr>
    </w:tbl>
    <w:p>
      <w:pPr>
        <w:spacing w:line="400" w:lineRule="exact"/>
        <w:ind w:firstLine="480" w:firstLineChars="200"/>
        <w:outlineLvl w:val="0"/>
        <w:rPr>
          <w:rFonts w:eastAsia="楷体_GB2312"/>
          <w:bCs/>
          <w:kern w:val="44"/>
          <w:sz w:val="24"/>
        </w:rPr>
      </w:pPr>
      <w:bookmarkStart w:id="7" w:name="_Toc56782704"/>
      <w:r>
        <w:rPr>
          <w:rFonts w:eastAsia="楷体_GB2312"/>
          <w:bCs/>
          <w:kern w:val="44"/>
          <w:sz w:val="24"/>
        </w:rPr>
        <w:t>注：每万人高价值发明专利拥有量（件）2020年实现值及统计口径以国家知识产权局通报的数据为准。</w:t>
      </w:r>
    </w:p>
    <w:p>
      <w:pPr>
        <w:spacing w:line="580" w:lineRule="exact"/>
        <w:ind w:firstLine="640" w:firstLineChars="200"/>
        <w:outlineLvl w:val="0"/>
        <w:rPr>
          <w:rFonts w:eastAsia="黑体"/>
          <w:bCs/>
          <w:kern w:val="44"/>
          <w:szCs w:val="32"/>
        </w:rPr>
      </w:pPr>
      <w:r>
        <w:rPr>
          <w:rFonts w:eastAsia="黑体"/>
          <w:bCs/>
          <w:kern w:val="44"/>
          <w:szCs w:val="32"/>
        </w:rPr>
        <w:t>二、聚焦顶层设计，深化改革、创新机制，构建知识产权治理新体系</w:t>
      </w:r>
      <w:bookmarkEnd w:id="7"/>
    </w:p>
    <w:p>
      <w:pPr>
        <w:spacing w:line="580" w:lineRule="exact"/>
        <w:ind w:firstLine="640" w:firstLineChars="200"/>
        <w:outlineLvl w:val="1"/>
        <w:rPr>
          <w:rFonts w:eastAsia="楷体_GB2312"/>
          <w:szCs w:val="32"/>
        </w:rPr>
      </w:pPr>
      <w:bookmarkStart w:id="8" w:name="_Toc56782705"/>
      <w:r>
        <w:rPr>
          <w:rFonts w:eastAsia="楷体_GB2312"/>
          <w:szCs w:val="32"/>
        </w:rPr>
        <w:t>（一）深化知识产权体制机制改革</w:t>
      </w:r>
      <w:bookmarkEnd w:id="8"/>
    </w:p>
    <w:p>
      <w:pPr>
        <w:spacing w:line="580" w:lineRule="exact"/>
        <w:ind w:firstLine="640" w:firstLineChars="200"/>
        <w:rPr>
          <w:szCs w:val="32"/>
        </w:rPr>
      </w:pPr>
      <w:r>
        <w:rPr>
          <w:szCs w:val="32"/>
        </w:rPr>
        <w:t>持续推进知识产权综合管理体制改革，建立健全政府治理、市场治理、社会治理三位一体的知识产权治理体系。充分发挥知识产权强省建设工作联席会议作用，以项目化合作为抓手，建立部门常态化合作机制。完善省部、局市合作会商工作机制，强化四级联动，“一地一策”做实做深知识产权工作。鼓励各地探索优化专利、商标、版权、地理标志、商业秘密等知识产权门类的综合管理，在纺织品、服饰等领域试点开展外观设计专利、版权等涉及创意的知识产权综合管理模式。深化执法体制改革，强化部门联动、上下联动、区域联动，建立知识产权专业执法队伍，建立健全知识产权侵权纠纷鉴定机构管理制度。</w:t>
      </w:r>
    </w:p>
    <w:p>
      <w:pPr>
        <w:spacing w:line="580" w:lineRule="exact"/>
        <w:ind w:firstLine="640" w:firstLineChars="200"/>
        <w:outlineLvl w:val="1"/>
        <w:rPr>
          <w:rFonts w:eastAsia="楷体_GB2312"/>
          <w:szCs w:val="32"/>
        </w:rPr>
      </w:pPr>
      <w:bookmarkStart w:id="9" w:name="_Toc56782706"/>
      <w:r>
        <w:rPr>
          <w:rFonts w:eastAsia="楷体_GB2312"/>
          <w:szCs w:val="32"/>
        </w:rPr>
        <w:t>（二）完善知识产权政策法规体系</w:t>
      </w:r>
      <w:bookmarkEnd w:id="9"/>
    </w:p>
    <w:p>
      <w:pPr>
        <w:spacing w:line="590" w:lineRule="exact"/>
        <w:ind w:firstLine="640" w:firstLineChars="200"/>
        <w:rPr>
          <w:szCs w:val="32"/>
        </w:rPr>
      </w:pPr>
      <w:r>
        <w:rPr>
          <w:rFonts w:eastAsia="仿宋"/>
          <w:szCs w:val="32"/>
        </w:rPr>
        <w:t xml:space="preserve"> </w:t>
      </w:r>
      <w:r>
        <w:rPr>
          <w:szCs w:val="32"/>
        </w:rPr>
        <w:t>推进《浙江省知识产权保护条例》《浙江省专利条例》《浙江省著作权管理办法》和《浙江省反不正当竞争条例》等地方性法规规章的制修订工作。鼓励各地针对特色产业出台知识产权专项法规、规章、政策，完善省、市、县三级政策体系，加强政策协同，释放叠加效应。促进知识产权政策与财政政策、产业政策、科技政策、金融政策、人才政策的衔接和联动，建立政策动态评估和调整机制。</w:t>
      </w:r>
    </w:p>
    <w:p>
      <w:pPr>
        <w:spacing w:line="590" w:lineRule="exact"/>
        <w:ind w:firstLine="640" w:firstLineChars="200"/>
        <w:outlineLvl w:val="1"/>
        <w:rPr>
          <w:rFonts w:eastAsia="楷体_GB2312"/>
          <w:szCs w:val="32"/>
        </w:rPr>
      </w:pPr>
      <w:bookmarkStart w:id="10" w:name="_Toc56782707"/>
      <w:r>
        <w:rPr>
          <w:rFonts w:eastAsia="楷体_GB2312"/>
          <w:szCs w:val="32"/>
        </w:rPr>
        <w:t>（三）推进知识产权区域一体化建设</w:t>
      </w:r>
      <w:bookmarkEnd w:id="10"/>
    </w:p>
    <w:p>
      <w:pPr>
        <w:spacing w:line="590" w:lineRule="exact"/>
        <w:ind w:firstLine="640" w:firstLineChars="200"/>
        <w:rPr>
          <w:szCs w:val="32"/>
        </w:rPr>
      </w:pPr>
      <w:r>
        <w:rPr>
          <w:szCs w:val="32"/>
        </w:rPr>
        <w:t>大力推进长三角地区知识产权公共服务一体化、维权执法一体化、信用建设一体化，有力支撑长三角一体化国家战略。完善长三角地区知识产权保护发展会商、跨域保护协作、保护平台共建共享等机制，争取设立中国知识产权长三角公共服务平台，持续完善“三省一市”电子商务领域知识产权监管协作，推进实现三省一市知识产权资源共享、规范标准同步。建设大湾区和四大都市区知识产权共享平台，提升杭甬知识产权一体化发展水平，强化辐射带动作用，推动建设知识产权“飞地”，推进知识产权“山海协作”。</w:t>
      </w:r>
    </w:p>
    <w:p>
      <w:pPr>
        <w:spacing w:line="590" w:lineRule="exact"/>
        <w:ind w:firstLine="640" w:firstLineChars="200"/>
        <w:outlineLvl w:val="0"/>
        <w:rPr>
          <w:rFonts w:eastAsia="黑体"/>
          <w:bCs/>
          <w:kern w:val="44"/>
          <w:szCs w:val="32"/>
        </w:rPr>
      </w:pPr>
      <w:bookmarkStart w:id="11" w:name="_Toc56782708"/>
      <w:r>
        <w:rPr>
          <w:rFonts w:eastAsia="黑体"/>
          <w:bCs/>
          <w:kern w:val="44"/>
          <w:szCs w:val="32"/>
        </w:rPr>
        <w:t>三、聚焦高质量，激发内在活力、强化服务保障，熔铸知识产权创造新优势</w:t>
      </w:r>
      <w:bookmarkEnd w:id="11"/>
    </w:p>
    <w:p>
      <w:pPr>
        <w:spacing w:line="590" w:lineRule="exact"/>
        <w:ind w:firstLine="640" w:firstLineChars="200"/>
        <w:outlineLvl w:val="1"/>
        <w:rPr>
          <w:rFonts w:eastAsia="楷体_GB2312"/>
          <w:szCs w:val="32"/>
        </w:rPr>
      </w:pPr>
      <w:bookmarkStart w:id="12" w:name="_Toc56782709"/>
      <w:r>
        <w:rPr>
          <w:rFonts w:eastAsia="楷体_GB2312"/>
          <w:szCs w:val="32"/>
        </w:rPr>
        <w:t>（一）强化高质量知识产权</w:t>
      </w:r>
      <w:bookmarkEnd w:id="12"/>
      <w:r>
        <w:rPr>
          <w:rFonts w:eastAsia="楷体_GB2312"/>
          <w:szCs w:val="32"/>
        </w:rPr>
        <w:t>培育和前瞻布局</w:t>
      </w:r>
    </w:p>
    <w:p>
      <w:pPr>
        <w:spacing w:line="590" w:lineRule="exact"/>
        <w:ind w:firstLine="640" w:firstLineChars="200"/>
        <w:rPr>
          <w:szCs w:val="32"/>
        </w:rPr>
      </w:pPr>
      <w:r>
        <w:rPr>
          <w:szCs w:val="32"/>
        </w:rPr>
        <w:t>实施高质量知识产权培育工程，建设一批国家级和省级高价值知识产权培育中心，充分对接国家战略科技力量，建立关键核心技术知识产权攻关目录，推进科技规划与知识产权事务协同。建立知识产权检索、创造、布局和工业设计、产品研发同步推进的政策机制、管理机制，促进知识产权事务与技术研发、法务、商务相融合。实施知识产权产业链布局计划，围绕高价值的核心专利形成专利组合，打通高价值专利布局、高效益成果转化、高层级标准制定全链条。实施PCT国际专利申请倍增计划，加强知识产权海外布局。健全高价值专利筛选机制，完善专利奖评选体系。实施商标品牌战略，深化植物新品种、地理标志、集体商标和证明商标运用促进。打造精品版权，加快培育文化创意、时尚、软件、影视及融媒体等领域的核心版权。支持集成电路企业申请注册集成电路布图设计专有权。加大非物质文化遗产、中医药、老字号等领域知识产权保护和开发利用力度。</w:t>
      </w:r>
    </w:p>
    <w:tbl>
      <w:tblPr>
        <w:tblStyle w:val="7"/>
        <w:tblW w:w="8845"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PrEx>
        <w:trPr>
          <w:trHeight w:val="20" w:hRule="atLeast"/>
          <w:jc w:val="center"/>
        </w:trPr>
        <w:tc>
          <w:tcPr>
            <w:tcW w:w="8845" w:type="dxa"/>
            <w:vAlign w:val="top"/>
          </w:tcPr>
          <w:p>
            <w:pPr>
              <w:spacing w:before="240" w:beforeLines="100" w:after="240" w:afterLines="100" w:line="360" w:lineRule="exact"/>
              <w:jc w:val="center"/>
              <w:rPr>
                <w:rFonts w:eastAsia="黑体"/>
                <w:bCs/>
                <w:sz w:val="28"/>
              </w:rPr>
            </w:pPr>
            <w:r>
              <w:rPr>
                <w:rFonts w:eastAsia="黑体"/>
                <w:bCs/>
                <w:sz w:val="28"/>
              </w:rPr>
              <w:t>专栏1</w:t>
            </w:r>
            <w:r>
              <w:rPr>
                <w:rFonts w:hint="eastAsia" w:eastAsia="黑体"/>
                <w:bCs/>
                <w:sz w:val="28"/>
              </w:rPr>
              <w:t xml:space="preserve">  </w:t>
            </w:r>
            <w:r>
              <w:rPr>
                <w:rFonts w:eastAsia="黑体"/>
                <w:bCs/>
                <w:sz w:val="28"/>
              </w:rPr>
              <w:t>高质量知识产权培育工程</w:t>
            </w:r>
          </w:p>
          <w:p>
            <w:pPr>
              <w:spacing w:line="360" w:lineRule="exact"/>
              <w:ind w:firstLine="480" w:firstLineChars="200"/>
              <w:rPr>
                <w:sz w:val="24"/>
              </w:rPr>
            </w:pPr>
            <w:r>
              <w:rPr>
                <w:sz w:val="24"/>
              </w:rPr>
              <w:t>大力推进以企业为主体、市场为导向、“产学研用金、才政介美云”联动的知识产权高质量创造体系，科学制定高质量知识产权评价指标，完善考核评价体系，优化考核赋分办法，强化过程管理和闭环管理。</w:t>
            </w:r>
          </w:p>
          <w:p>
            <w:pPr>
              <w:spacing w:line="360" w:lineRule="exact"/>
              <w:ind w:firstLine="480" w:firstLineChars="200"/>
              <w:rPr>
                <w:sz w:val="24"/>
              </w:rPr>
            </w:pPr>
            <w:r>
              <w:rPr>
                <w:sz w:val="24"/>
              </w:rPr>
              <w:t>1.</w:t>
            </w:r>
            <w:r>
              <w:rPr>
                <w:rFonts w:hint="eastAsia"/>
                <w:sz w:val="24"/>
              </w:rPr>
              <w:t xml:space="preserve"> </w:t>
            </w:r>
            <w:r>
              <w:rPr>
                <w:sz w:val="24"/>
              </w:rPr>
              <w:t>实施知识产权质量提升行动，加快推进地方知识产权资助政策改立废工作，坚持差额补助，完善制度程序。加强知识产权服务行业信用监管，严厉打击无资质代理和非正常申请等违法违规行为。</w:t>
            </w:r>
          </w:p>
          <w:p>
            <w:pPr>
              <w:spacing w:line="360" w:lineRule="exact"/>
              <w:ind w:firstLine="480" w:firstLineChars="200"/>
              <w:rPr>
                <w:sz w:val="24"/>
              </w:rPr>
            </w:pPr>
            <w:r>
              <w:rPr>
                <w:sz w:val="24"/>
              </w:rPr>
              <w:t>2.</w:t>
            </w:r>
            <w:r>
              <w:rPr>
                <w:rFonts w:hint="eastAsia"/>
                <w:sz w:val="24"/>
              </w:rPr>
              <w:t xml:space="preserve"> </w:t>
            </w:r>
            <w:r>
              <w:rPr>
                <w:sz w:val="24"/>
              </w:rPr>
              <w:t>鼓励微内容、微创新、微应用、微电影等微经济新业态发展，加快数字影音、网络直播等数字文化产业发展，形成一批具有浙江影响力的数字精品版权。</w:t>
            </w:r>
          </w:p>
          <w:p>
            <w:pPr>
              <w:spacing w:line="360" w:lineRule="exact"/>
              <w:ind w:firstLine="480" w:firstLineChars="200"/>
              <w:rPr>
                <w:sz w:val="24"/>
              </w:rPr>
            </w:pPr>
            <w:r>
              <w:rPr>
                <w:sz w:val="24"/>
              </w:rPr>
              <w:t>3.</w:t>
            </w:r>
            <w:r>
              <w:rPr>
                <w:rFonts w:hint="eastAsia"/>
                <w:sz w:val="24"/>
              </w:rPr>
              <w:t xml:space="preserve"> </w:t>
            </w:r>
            <w:r>
              <w:rPr>
                <w:sz w:val="24"/>
              </w:rPr>
              <w:t>加强乡村非物质文化遗产保护，持续做好传统村落保护利用工作。推进乡村产业“十业万亿”工程建设，加快地理标志、产业集群区域品牌、证明商标培育，推动“西湖龙井”“金华火腿”“丽水山耕”“三衢味”等区域品牌走向世界，到2025年，100个产业超亿元的乡村振兴联合体、50个农业强镇实现知识产权全覆盖。</w:t>
            </w:r>
          </w:p>
          <w:p>
            <w:pPr>
              <w:spacing w:line="360" w:lineRule="exact"/>
              <w:ind w:firstLine="480" w:firstLineChars="200"/>
              <w:rPr>
                <w:sz w:val="24"/>
              </w:rPr>
            </w:pPr>
            <w:r>
              <w:rPr>
                <w:sz w:val="24"/>
              </w:rPr>
              <w:t>4.</w:t>
            </w:r>
            <w:r>
              <w:rPr>
                <w:rFonts w:hint="eastAsia"/>
                <w:sz w:val="24"/>
              </w:rPr>
              <w:t xml:space="preserve"> </w:t>
            </w:r>
            <w:r>
              <w:rPr>
                <w:sz w:val="24"/>
              </w:rPr>
              <w:t>率先在浙江大学、浙江工业大学、宁波大学、温州大学、中国计量大学、杭州电子科技大学等国家知识产权试点示范高校，完善知识产权管理制度，承担重大技术、关键技术知识产权攻关，建立高质量绩效评价体系。</w:t>
            </w:r>
          </w:p>
          <w:p>
            <w:pPr>
              <w:spacing w:line="360" w:lineRule="exact"/>
              <w:ind w:firstLine="480" w:firstLineChars="200"/>
              <w:rPr>
                <w:sz w:val="24"/>
              </w:rPr>
            </w:pPr>
            <w:r>
              <w:rPr>
                <w:sz w:val="24"/>
              </w:rPr>
              <w:t>5.</w:t>
            </w:r>
            <w:r>
              <w:rPr>
                <w:rFonts w:hint="eastAsia"/>
                <w:sz w:val="24"/>
              </w:rPr>
              <w:t xml:space="preserve"> </w:t>
            </w:r>
            <w:r>
              <w:rPr>
                <w:sz w:val="24"/>
              </w:rPr>
              <w:t>支持企业实施积极的海外知识产权保护策略，通过PCT等途径加快知识产权海外布局，建成一批具备熟练运用知识产权国际规则参与全球竞争的旗舰型企业，我省外向型经济知识产权风险明显降低。加强国际合作交流，办好AIPPI杭州世界知识产权大会，系统谋划知识产权国际保护新格局。</w:t>
            </w:r>
          </w:p>
        </w:tc>
      </w:tr>
    </w:tbl>
    <w:p>
      <w:pPr>
        <w:spacing w:line="590" w:lineRule="exact"/>
        <w:ind w:firstLine="640" w:firstLineChars="200"/>
        <w:outlineLvl w:val="1"/>
        <w:rPr>
          <w:rFonts w:eastAsia="楷体_GB2312"/>
          <w:szCs w:val="32"/>
        </w:rPr>
      </w:pPr>
      <w:bookmarkStart w:id="13" w:name="_Toc56782710"/>
      <w:r>
        <w:rPr>
          <w:rFonts w:eastAsia="楷体_GB2312"/>
          <w:szCs w:val="32"/>
        </w:rPr>
        <w:t>（二）更加突出企业的创新</w:t>
      </w:r>
      <w:bookmarkEnd w:id="13"/>
      <w:r>
        <w:rPr>
          <w:rFonts w:eastAsia="楷体_GB2312"/>
          <w:szCs w:val="32"/>
        </w:rPr>
        <w:t>主体地位</w:t>
      </w:r>
    </w:p>
    <w:p>
      <w:pPr>
        <w:spacing w:line="590" w:lineRule="exact"/>
        <w:ind w:firstLine="640" w:firstLineChars="200"/>
        <w:rPr>
          <w:szCs w:val="32"/>
        </w:rPr>
      </w:pPr>
      <w:r>
        <w:rPr>
          <w:szCs w:val="32"/>
        </w:rPr>
        <w:t>实施知识产权强企“头雁计划”，培育500家专利密集、品牌价值高、具有国际竞争优势的知识产权领军企业，充分发挥龙头企业的引领作用。将企业知识产权作为重要指标纳入“凤凰行动”“雄鹰行动”“雏鹰行动”等遴选评价体系，引导行业领军型企业强化知识产权管理和保护，培育更多高价值核心专利和知名品牌。探索建设科创板知识产权加速器，培育一批科创型上市企业。加大国有企业创造评价激励，探索建立经营业绩、知识产权和创新并重的国有企业考评模式。大力推进工业企业技术创新和品牌创新，实施规上工业企业发明专利清零计划。以共建专利池、形成知识产权联盟等形式，强化大中小企业的知识产权融合发展，推进实施专利转化专项计划。完善中小微企业知识产权托管机制、专利侵权监测公共服务机制、维权援助机制，健全提升中小微企业知识产权创造能力的服务体系。支持杭州等地围绕重点产业，推进知识产权“头雁”产业、“头雁”企业高质量发展，实施小微企业知识产权援助计划。</w:t>
      </w:r>
    </w:p>
    <w:tbl>
      <w:tblPr>
        <w:tblStyle w:val="7"/>
        <w:tblW w:w="8845"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PrEx>
        <w:trPr>
          <w:trHeight w:val="20" w:hRule="atLeast"/>
          <w:jc w:val="center"/>
        </w:trPr>
        <w:tc>
          <w:tcPr>
            <w:tcW w:w="8845" w:type="dxa"/>
            <w:vAlign w:val="top"/>
          </w:tcPr>
          <w:p>
            <w:pPr>
              <w:spacing w:before="240" w:beforeLines="100" w:after="240" w:afterLines="100" w:line="360" w:lineRule="exact"/>
              <w:jc w:val="center"/>
              <w:rPr>
                <w:rFonts w:eastAsia="黑体"/>
                <w:bCs/>
                <w:sz w:val="28"/>
              </w:rPr>
            </w:pPr>
            <w:r>
              <w:rPr>
                <w:rFonts w:eastAsia="黑体"/>
                <w:bCs/>
                <w:sz w:val="28"/>
              </w:rPr>
              <w:t>专栏2</w:t>
            </w:r>
            <w:r>
              <w:rPr>
                <w:rFonts w:hint="eastAsia" w:eastAsia="黑体"/>
                <w:bCs/>
                <w:sz w:val="28"/>
              </w:rPr>
              <w:t xml:space="preserve">  </w:t>
            </w:r>
            <w:r>
              <w:rPr>
                <w:rFonts w:eastAsia="黑体"/>
                <w:bCs/>
                <w:sz w:val="28"/>
              </w:rPr>
              <w:t>科创板上市知识产权加速器建设工程</w:t>
            </w:r>
          </w:p>
          <w:p>
            <w:pPr>
              <w:spacing w:line="360" w:lineRule="exact"/>
              <w:ind w:firstLine="480" w:firstLineChars="200"/>
              <w:rPr>
                <w:sz w:val="24"/>
              </w:rPr>
            </w:pPr>
            <w:r>
              <w:rPr>
                <w:sz w:val="24"/>
              </w:rPr>
              <w:t>建立科创板拟上市企业名录库，并在企业集中的产业集聚区、园区建立科创板上市知识产权加速器。</w:t>
            </w:r>
          </w:p>
          <w:p>
            <w:pPr>
              <w:spacing w:line="360" w:lineRule="exact"/>
              <w:ind w:firstLine="480" w:firstLineChars="200"/>
              <w:rPr>
                <w:sz w:val="24"/>
              </w:rPr>
            </w:pPr>
            <w:r>
              <w:rPr>
                <w:sz w:val="24"/>
              </w:rPr>
              <w:t>1.</w:t>
            </w:r>
            <w:r>
              <w:rPr>
                <w:rFonts w:hint="eastAsia"/>
                <w:sz w:val="24"/>
              </w:rPr>
              <w:t xml:space="preserve"> </w:t>
            </w:r>
            <w:r>
              <w:rPr>
                <w:sz w:val="24"/>
              </w:rPr>
              <w:t>统筹引进中介辅导机构，提前开展知识产权及法务、财务等规范和服务工作。</w:t>
            </w:r>
          </w:p>
          <w:p>
            <w:pPr>
              <w:spacing w:line="360" w:lineRule="exact"/>
              <w:ind w:firstLine="480" w:firstLineChars="200"/>
              <w:rPr>
                <w:sz w:val="24"/>
              </w:rPr>
            </w:pPr>
            <w:r>
              <w:rPr>
                <w:sz w:val="24"/>
              </w:rPr>
              <w:t>2.</w:t>
            </w:r>
            <w:r>
              <w:rPr>
                <w:rFonts w:hint="eastAsia"/>
                <w:sz w:val="24"/>
              </w:rPr>
              <w:t xml:space="preserve"> </w:t>
            </w:r>
            <w:r>
              <w:rPr>
                <w:sz w:val="24"/>
              </w:rPr>
              <w:t>对接配置知识产权快速预审、优先审查资源。</w:t>
            </w:r>
          </w:p>
          <w:p>
            <w:pPr>
              <w:spacing w:line="360" w:lineRule="exact"/>
              <w:ind w:firstLine="480" w:firstLineChars="200"/>
              <w:rPr>
                <w:sz w:val="24"/>
              </w:rPr>
            </w:pPr>
            <w:r>
              <w:rPr>
                <w:sz w:val="24"/>
              </w:rPr>
              <w:t>3.</w:t>
            </w:r>
            <w:r>
              <w:rPr>
                <w:rFonts w:hint="eastAsia"/>
                <w:sz w:val="24"/>
              </w:rPr>
              <w:t xml:space="preserve"> </w:t>
            </w:r>
            <w:r>
              <w:rPr>
                <w:sz w:val="24"/>
              </w:rPr>
              <w:t>提供知识产权预警、专利导航等公共服务，建立专题知识产权大数据库，为企业选择重点研发方向、合理进行知识产权布局提供服务。</w:t>
            </w:r>
          </w:p>
          <w:p>
            <w:pPr>
              <w:spacing w:line="360" w:lineRule="exact"/>
              <w:ind w:firstLine="480" w:firstLineChars="200"/>
              <w:rPr>
                <w:sz w:val="24"/>
              </w:rPr>
            </w:pPr>
            <w:r>
              <w:rPr>
                <w:sz w:val="24"/>
              </w:rPr>
              <w:t>4.</w:t>
            </w:r>
            <w:r>
              <w:rPr>
                <w:rFonts w:hint="eastAsia"/>
                <w:sz w:val="24"/>
              </w:rPr>
              <w:t xml:space="preserve"> </w:t>
            </w:r>
            <w:r>
              <w:rPr>
                <w:sz w:val="24"/>
              </w:rPr>
              <w:t>引导风险基金加强对种子期、初创期的高价值知识产权企业的投资；支持商业银行创新信贷产品，开展信用贷款、知识产权质押融资等金融服务。</w:t>
            </w:r>
          </w:p>
          <w:p>
            <w:pPr>
              <w:spacing w:line="360" w:lineRule="exact"/>
              <w:ind w:firstLine="480" w:firstLineChars="200"/>
              <w:rPr>
                <w:sz w:val="24"/>
              </w:rPr>
            </w:pPr>
            <w:r>
              <w:rPr>
                <w:sz w:val="24"/>
              </w:rPr>
              <w:t>5.</w:t>
            </w:r>
            <w:r>
              <w:rPr>
                <w:rFonts w:hint="eastAsia"/>
                <w:sz w:val="24"/>
              </w:rPr>
              <w:t xml:space="preserve"> </w:t>
            </w:r>
            <w:r>
              <w:rPr>
                <w:sz w:val="24"/>
              </w:rPr>
              <w:t>开通知识产权保护直通车，为企业提供法律维权、法律咨询等服务，扫清其上市潜在的法律障碍。</w:t>
            </w:r>
          </w:p>
        </w:tc>
      </w:tr>
    </w:tbl>
    <w:p>
      <w:pPr>
        <w:spacing w:line="590" w:lineRule="exact"/>
        <w:ind w:firstLine="640" w:firstLineChars="200"/>
        <w:outlineLvl w:val="1"/>
        <w:rPr>
          <w:rFonts w:eastAsia="楷体_GB2312"/>
          <w:szCs w:val="32"/>
        </w:rPr>
      </w:pPr>
      <w:bookmarkStart w:id="14" w:name="_Toc56782712"/>
      <w:r>
        <w:rPr>
          <w:rFonts w:eastAsia="楷体_GB2312"/>
          <w:szCs w:val="32"/>
        </w:rPr>
        <w:t>（三）全面提升知识产权公共服务能力</w:t>
      </w:r>
      <w:bookmarkEnd w:id="14"/>
    </w:p>
    <w:p>
      <w:pPr>
        <w:spacing w:line="590" w:lineRule="exact"/>
        <w:ind w:firstLine="640" w:firstLineChars="200"/>
        <w:rPr>
          <w:szCs w:val="32"/>
        </w:rPr>
      </w:pPr>
      <w:r>
        <w:rPr>
          <w:szCs w:val="32"/>
        </w:rPr>
        <w:t>深化知识产权“一件事”改革，打造若干国家级、区域性知识产权综合服务“旗舰店”，布局一批专业型、特色型省级公共服务集聚示范“加盟店”，创建一批面向基层和企业一线的品牌指导服务“连锁店”。优化提升专利优先审查、快速预审和商标申请绿色通道。支持浙江省知识产权研究与服务中心建设成为国内领先的知识产权发展研究院。完善全省知识产权信息公共网点布局，充分发挥技术与创新支持中心（TISC）、高校国家知识产权信息服务中心等国家级公共服务平台的枢纽作用。</w:t>
      </w:r>
    </w:p>
    <w:tbl>
      <w:tblPr>
        <w:tblStyle w:val="7"/>
        <w:tblW w:w="8845"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PrEx>
        <w:trPr>
          <w:trHeight w:val="20" w:hRule="atLeast"/>
          <w:jc w:val="center"/>
        </w:trPr>
        <w:tc>
          <w:tcPr>
            <w:tcW w:w="8845" w:type="dxa"/>
            <w:vAlign w:val="top"/>
          </w:tcPr>
          <w:p>
            <w:pPr>
              <w:spacing w:before="240" w:beforeLines="100" w:after="240" w:afterLines="100" w:line="360" w:lineRule="exact"/>
              <w:jc w:val="center"/>
              <w:rPr>
                <w:rFonts w:eastAsia="黑体"/>
                <w:bCs/>
                <w:sz w:val="28"/>
              </w:rPr>
            </w:pPr>
            <w:r>
              <w:rPr>
                <w:rFonts w:eastAsia="黑体"/>
                <w:bCs/>
                <w:sz w:val="28"/>
              </w:rPr>
              <w:t>专栏3</w:t>
            </w:r>
            <w:r>
              <w:rPr>
                <w:rFonts w:hint="eastAsia" w:eastAsia="黑体"/>
                <w:bCs/>
                <w:sz w:val="28"/>
              </w:rPr>
              <w:t xml:space="preserve">  </w:t>
            </w:r>
            <w:r>
              <w:rPr>
                <w:rFonts w:eastAsia="黑体"/>
                <w:bCs/>
                <w:sz w:val="28"/>
              </w:rPr>
              <w:t>知识产权保护“一件事”集成改革</w:t>
            </w:r>
          </w:p>
          <w:p>
            <w:pPr>
              <w:snapToGrid w:val="0"/>
              <w:spacing w:line="360" w:lineRule="exact"/>
              <w:ind w:firstLine="480" w:firstLineChars="200"/>
              <w:rPr>
                <w:sz w:val="24"/>
              </w:rPr>
            </w:pPr>
            <w:r>
              <w:rPr>
                <w:sz w:val="24"/>
              </w:rPr>
              <w:t>通过建设“浙江知识产权在线”综合应用系统，集成专利、商标、版权等知识产权办事事项，贯通创造、保护、运用、管理、服务等全链条，推进知识产权“一件事”“一张网”办理，实现全流程“最多跑一次”。</w:t>
            </w:r>
          </w:p>
          <w:p>
            <w:pPr>
              <w:snapToGrid w:val="0"/>
              <w:spacing w:line="360" w:lineRule="exact"/>
              <w:ind w:firstLine="480" w:firstLineChars="200"/>
              <w:rPr>
                <w:sz w:val="24"/>
              </w:rPr>
            </w:pPr>
            <w:r>
              <w:rPr>
                <w:sz w:val="24"/>
              </w:rPr>
              <w:t>1.</w:t>
            </w:r>
            <w:r>
              <w:rPr>
                <w:rFonts w:hint="eastAsia"/>
                <w:sz w:val="24"/>
              </w:rPr>
              <w:t xml:space="preserve"> </w:t>
            </w:r>
            <w:r>
              <w:rPr>
                <w:sz w:val="24"/>
              </w:rPr>
              <w:t>上线“浙江知识产权在线”。贯通知识产权创造、保护、运用、管理、服务等全链条，融合专利权、商标权、植物新品种权、集成电路布图设计权、地理标志、商业秘密、著作权等全门类事项，囊括申请、登记、确权、授权、缴费、无效、终止、政策资助等全周期服务。</w:t>
            </w:r>
          </w:p>
          <w:p>
            <w:pPr>
              <w:snapToGrid w:val="0"/>
              <w:spacing w:line="360" w:lineRule="exact"/>
              <w:ind w:firstLine="480" w:firstLineChars="200"/>
              <w:rPr>
                <w:sz w:val="24"/>
              </w:rPr>
            </w:pPr>
            <w:r>
              <w:rPr>
                <w:sz w:val="24"/>
              </w:rPr>
              <w:t>2.</w:t>
            </w:r>
            <w:r>
              <w:rPr>
                <w:rFonts w:hint="eastAsia"/>
                <w:sz w:val="24"/>
              </w:rPr>
              <w:t xml:space="preserve"> </w:t>
            </w:r>
            <w:r>
              <w:rPr>
                <w:sz w:val="24"/>
              </w:rPr>
              <w:t>建设省域知识产权大数据中心。借势国家改革，打通国家、省、市、县各层级，市场监管、司法、法院、版权、文旅、海关、农业、林业等各部门的知识产权服务节点，推动创新主体、服务平台、专家人才、行政监管、执法司法等数据互通共享，构建“一库一图一表一指数”体系，为知识产权整体智治、高效协同提供强有力的数据支撑。</w:t>
            </w:r>
          </w:p>
          <w:p>
            <w:pPr>
              <w:spacing w:line="360" w:lineRule="exact"/>
              <w:ind w:firstLine="480" w:firstLineChars="200"/>
              <w:rPr>
                <w:sz w:val="24"/>
              </w:rPr>
            </w:pPr>
            <w:r>
              <w:rPr>
                <w:sz w:val="24"/>
              </w:rPr>
              <w:t>3.</w:t>
            </w:r>
            <w:r>
              <w:rPr>
                <w:rFonts w:hint="eastAsia"/>
                <w:sz w:val="24"/>
              </w:rPr>
              <w:t xml:space="preserve"> </w:t>
            </w:r>
            <w:r>
              <w:rPr>
                <w:sz w:val="24"/>
              </w:rPr>
              <w:t>全面推进知识产权公共服务“减事项、减环节、减材料、减次数、减时间、减费用”，推行“一套材料、一次告知、一表申请、一窗受理、一网通办、一次办结”，让知识产权数据在网上多跑路、群众少跑路，实现知识产权网上办事“最多跑一次”“零见面”。</w:t>
            </w:r>
          </w:p>
          <w:p>
            <w:pPr>
              <w:snapToGrid w:val="0"/>
              <w:spacing w:line="360" w:lineRule="exact"/>
              <w:ind w:firstLine="480" w:firstLineChars="200"/>
              <w:rPr>
                <w:sz w:val="24"/>
              </w:rPr>
            </w:pPr>
            <w:r>
              <w:rPr>
                <w:sz w:val="24"/>
              </w:rPr>
              <w:t>4.</w:t>
            </w:r>
            <w:r>
              <w:rPr>
                <w:rFonts w:hint="eastAsia"/>
                <w:sz w:val="24"/>
              </w:rPr>
              <w:t xml:space="preserve"> </w:t>
            </w:r>
            <w:r>
              <w:rPr>
                <w:sz w:val="24"/>
              </w:rPr>
              <w:t>以数字化引领撬动知识产权各领域改革。聚焦知识产权重点领域，迭代升级重要场景，通过跨部门、跨层级、跨领域等多跨协同机制，推动各级各类知识产权公共服务节点、网点服务向“浙江知识产权在线”集成，打破条块分割、条线孤立的碎片化模式，再造政府后台流程和公共服务方式，推进知识产权制度变革。</w:t>
            </w:r>
          </w:p>
        </w:tc>
      </w:tr>
    </w:tbl>
    <w:p>
      <w:pPr>
        <w:spacing w:line="570" w:lineRule="exact"/>
        <w:ind w:firstLine="640" w:firstLineChars="200"/>
        <w:outlineLvl w:val="1"/>
        <w:rPr>
          <w:rFonts w:eastAsia="楷体_GB2312"/>
          <w:szCs w:val="32"/>
        </w:rPr>
      </w:pPr>
      <w:bookmarkStart w:id="15" w:name="_Toc56782711"/>
      <w:bookmarkStart w:id="16" w:name="_Toc56782713"/>
      <w:r>
        <w:rPr>
          <w:rFonts w:eastAsia="楷体_GB2312"/>
          <w:szCs w:val="32"/>
        </w:rPr>
        <w:t>（四）深化高校和科研院所创新机制</w:t>
      </w:r>
      <w:bookmarkEnd w:id="15"/>
      <w:r>
        <w:rPr>
          <w:rFonts w:eastAsia="楷体_GB2312"/>
          <w:szCs w:val="32"/>
        </w:rPr>
        <w:t>改革</w:t>
      </w:r>
    </w:p>
    <w:p>
      <w:pPr>
        <w:spacing w:line="570" w:lineRule="exact"/>
        <w:ind w:firstLine="640" w:firstLineChars="200"/>
        <w:rPr>
          <w:szCs w:val="32"/>
        </w:rPr>
      </w:pPr>
      <w:r>
        <w:rPr>
          <w:szCs w:val="32"/>
        </w:rPr>
        <w:t>优化高校、科研院所等知识产权高质量创造评价激励，完善知识产权收益分配机制，加大职务发明激励力度。深入推进高校、科研院所知识产权管理制度改革，建立专利申请前评估制度，完善以转化运用为导向的科研评价体系。支持高校建设“国家知识产权试点示范高校”“高校科技成果转化和技术转移基地”“高校国家知识产权信息服务中心”等平台。推动高校围绕优势特色学科，强化战略性新兴产业和重大产业知识产权布局，探索建立重大项目专利导航工作机制。鼓励高校、科研院所到产业集聚区设立专业分院、分所，发挥专业技术优势，促进关键技术攻关和知识产权成果运用。</w:t>
      </w:r>
    </w:p>
    <w:p>
      <w:pPr>
        <w:spacing w:line="570" w:lineRule="exact"/>
        <w:ind w:firstLine="640" w:firstLineChars="200"/>
        <w:outlineLvl w:val="1"/>
        <w:rPr>
          <w:rFonts w:eastAsia="楷体_GB2312"/>
          <w:szCs w:val="32"/>
        </w:rPr>
      </w:pPr>
      <w:r>
        <w:rPr>
          <w:rFonts w:eastAsia="楷体_GB2312"/>
          <w:szCs w:val="32"/>
        </w:rPr>
        <w:t>（五）大力培育知识产权服务业</w:t>
      </w:r>
      <w:bookmarkEnd w:id="16"/>
    </w:p>
    <w:p>
      <w:pPr>
        <w:spacing w:line="590" w:lineRule="exact"/>
        <w:ind w:firstLine="640" w:firstLineChars="200"/>
        <w:rPr>
          <w:szCs w:val="32"/>
        </w:rPr>
      </w:pPr>
      <w:r>
        <w:rPr>
          <w:szCs w:val="32"/>
        </w:rPr>
        <w:t>健全知识产权服务业政策体系、标准体系和市场体系，围绕产业链、创新链完善提升服务链，促进向价值链高端延伸，充分满足产业转型升级和研发、贸易、投资全球化发展的服务需求。依托知识产权密集型产业，加快建设知识产权服务业集聚区，实现11个地级市全覆盖。实施百家知识产权品牌服务机构培育计划，重点扶持知识产权运营机构、细分专业服务机构、涉外服务机构、大数据服务机构等发展，鼓励提升国际化服务能力。创新知识产权服务模式，促进线上线下一体化发展，鼓励服务业态融合发展，全面提升知识产权代理、法律、信息、商用化、咨询和培训服务水平。加强知识产权服务业统计监测，建立执业信息披露制度。开展知识产权服务业专项执法，严厉打击无资质代理、非正常申请等违法违规行为。培育知识产权服务行业组织，强化行业自律。</w:t>
      </w:r>
    </w:p>
    <w:tbl>
      <w:tblPr>
        <w:tblStyle w:val="7"/>
        <w:tblW w:w="8845"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PrEx>
        <w:trPr>
          <w:trHeight w:val="20" w:hRule="atLeast"/>
          <w:jc w:val="center"/>
        </w:trPr>
        <w:tc>
          <w:tcPr>
            <w:tcW w:w="8845" w:type="dxa"/>
            <w:vAlign w:val="top"/>
          </w:tcPr>
          <w:p>
            <w:pPr>
              <w:spacing w:before="240" w:beforeLines="100" w:after="240" w:afterLines="100" w:line="360" w:lineRule="exact"/>
              <w:jc w:val="center"/>
              <w:rPr>
                <w:rFonts w:eastAsia="黑体"/>
                <w:bCs/>
                <w:sz w:val="28"/>
              </w:rPr>
            </w:pPr>
            <w:r>
              <w:rPr>
                <w:rFonts w:eastAsia="黑体"/>
                <w:bCs/>
                <w:sz w:val="28"/>
              </w:rPr>
              <w:t>专栏4</w:t>
            </w:r>
            <w:r>
              <w:rPr>
                <w:rFonts w:hint="eastAsia" w:eastAsia="黑体"/>
                <w:bCs/>
                <w:sz w:val="28"/>
              </w:rPr>
              <w:t xml:space="preserve">  </w:t>
            </w:r>
            <w:r>
              <w:rPr>
                <w:rFonts w:eastAsia="黑体"/>
                <w:bCs/>
                <w:sz w:val="28"/>
              </w:rPr>
              <w:t>知识产权服务业品牌机构培育工程</w:t>
            </w:r>
          </w:p>
          <w:p>
            <w:pPr>
              <w:pStyle w:val="2"/>
              <w:spacing w:after="0" w:line="360" w:lineRule="exact"/>
              <w:ind w:firstLine="480"/>
              <w:rPr>
                <w:sz w:val="24"/>
              </w:rPr>
            </w:pPr>
            <w:r>
              <w:rPr>
                <w:sz w:val="24"/>
              </w:rPr>
              <w:t>大力发展知识产权服务业，引进和培育一批高水平的知识产权代理机构、知识产权运营服务机构和咨询服务机构，强化知识产权事业高质量发展服务支撑。</w:t>
            </w:r>
          </w:p>
          <w:p>
            <w:pPr>
              <w:pStyle w:val="2"/>
              <w:spacing w:after="0" w:line="360" w:lineRule="exact"/>
              <w:ind w:firstLine="480"/>
              <w:rPr>
                <w:sz w:val="24"/>
              </w:rPr>
            </w:pPr>
            <w:r>
              <w:rPr>
                <w:sz w:val="24"/>
              </w:rPr>
              <w:t>1.</w:t>
            </w:r>
            <w:r>
              <w:rPr>
                <w:rFonts w:hint="eastAsia"/>
                <w:sz w:val="24"/>
              </w:rPr>
              <w:t xml:space="preserve"> </w:t>
            </w:r>
            <w:r>
              <w:rPr>
                <w:sz w:val="24"/>
              </w:rPr>
              <w:t>支持知识产权服务机构向品牌化、高端化、集成化、规模化、国际化发展，持续提升服务质量、创新服务模式，鼓励知识产权服务机构实施并购重组和股改上市。到2025年，全省知识产权服务机构数量达到1000家以上，国家级知识产权品牌服务机构达到20家。</w:t>
            </w:r>
          </w:p>
          <w:p>
            <w:pPr>
              <w:pStyle w:val="2"/>
              <w:spacing w:after="0" w:line="360" w:lineRule="exact"/>
              <w:ind w:firstLine="480"/>
              <w:rPr>
                <w:sz w:val="24"/>
              </w:rPr>
            </w:pPr>
            <w:r>
              <w:rPr>
                <w:sz w:val="24"/>
              </w:rPr>
              <w:t>2.</w:t>
            </w:r>
            <w:r>
              <w:rPr>
                <w:rFonts w:hint="eastAsia"/>
                <w:sz w:val="24"/>
              </w:rPr>
              <w:t xml:space="preserve"> </w:t>
            </w:r>
            <w:r>
              <w:rPr>
                <w:sz w:val="24"/>
              </w:rPr>
              <w:t>全面实施知识产权服务机构“双随机、一公开”制度，建立服务机构星级评定和榜单制度，知识产权服务市场竞争更加公开透明。“十四五”期间，全省知识产权服务业收入年均增幅达到15%以上。</w:t>
            </w:r>
          </w:p>
          <w:p>
            <w:pPr>
              <w:pStyle w:val="2"/>
              <w:spacing w:after="0" w:line="360" w:lineRule="exact"/>
              <w:ind w:firstLine="480"/>
              <w:rPr>
                <w:sz w:val="24"/>
              </w:rPr>
            </w:pPr>
            <w:r>
              <w:rPr>
                <w:sz w:val="24"/>
              </w:rPr>
              <w:t>3.</w:t>
            </w:r>
            <w:r>
              <w:rPr>
                <w:rFonts w:hint="eastAsia"/>
                <w:sz w:val="24"/>
              </w:rPr>
              <w:t xml:space="preserve"> </w:t>
            </w:r>
            <w:r>
              <w:rPr>
                <w:sz w:val="24"/>
              </w:rPr>
              <w:t>持续加大国际知名品牌服务机构招引力度。实行无差别待遇，鼓励省外知识产权服务机构在浙设立机构，为浙江创新主体提供高质量知识产权服务。</w:t>
            </w:r>
          </w:p>
          <w:p>
            <w:pPr>
              <w:pStyle w:val="2"/>
              <w:spacing w:line="360" w:lineRule="exact"/>
              <w:ind w:firstLine="480"/>
              <w:rPr>
                <w:sz w:val="24"/>
              </w:rPr>
            </w:pPr>
            <w:r>
              <w:rPr>
                <w:sz w:val="24"/>
              </w:rPr>
              <w:t>4.</w:t>
            </w:r>
            <w:r>
              <w:rPr>
                <w:rFonts w:hint="eastAsia"/>
                <w:sz w:val="24"/>
              </w:rPr>
              <w:t xml:space="preserve"> </w:t>
            </w:r>
            <w:r>
              <w:rPr>
                <w:sz w:val="24"/>
              </w:rPr>
              <w:t>加强长三角地区知识产权交流合作，推进知识产权服务资源跨区域共享流动，通过精细化分工、联合服务公关等方式大力提升杭州等地知识产权服务高地的辐射功能。</w:t>
            </w:r>
          </w:p>
        </w:tc>
      </w:tr>
    </w:tbl>
    <w:p>
      <w:pPr>
        <w:spacing w:line="590" w:lineRule="exact"/>
        <w:ind w:firstLine="640" w:firstLineChars="200"/>
        <w:outlineLvl w:val="0"/>
        <w:rPr>
          <w:rFonts w:eastAsia="黑体"/>
          <w:bCs/>
          <w:kern w:val="44"/>
          <w:szCs w:val="32"/>
        </w:rPr>
      </w:pPr>
      <w:bookmarkStart w:id="17" w:name="_Toc56782714"/>
      <w:r>
        <w:rPr>
          <w:rFonts w:eastAsia="黑体"/>
          <w:bCs/>
          <w:kern w:val="44"/>
          <w:szCs w:val="32"/>
        </w:rPr>
        <w:t>四、聚焦竞争力，赋能产业、锻造长板，创启知识产权驱动发展新局面</w:t>
      </w:r>
      <w:bookmarkEnd w:id="17"/>
    </w:p>
    <w:p>
      <w:pPr>
        <w:spacing w:line="590" w:lineRule="exact"/>
        <w:ind w:firstLine="640" w:firstLineChars="200"/>
        <w:outlineLvl w:val="1"/>
        <w:rPr>
          <w:rFonts w:eastAsia="楷体_GB2312"/>
          <w:szCs w:val="32"/>
        </w:rPr>
      </w:pPr>
      <w:bookmarkStart w:id="18" w:name="_Toc56782715"/>
      <w:r>
        <w:rPr>
          <w:rFonts w:eastAsia="楷体_GB2312"/>
          <w:szCs w:val="32"/>
        </w:rPr>
        <w:t>（一）完善知识产权赋能产业机制</w:t>
      </w:r>
      <w:bookmarkEnd w:id="18"/>
    </w:p>
    <w:p>
      <w:pPr>
        <w:spacing w:line="590" w:lineRule="exact"/>
        <w:ind w:firstLine="640" w:firstLineChars="200"/>
        <w:rPr>
          <w:szCs w:val="32"/>
        </w:rPr>
      </w:pPr>
      <w:r>
        <w:rPr>
          <w:szCs w:val="32"/>
        </w:rPr>
        <w:t>推广专利导航机制，绘制重点产业、未来产业知识产权图谱，实施区域重大产业规划、政府重大投资项目知识产权评议制度。公布专利优先审查产业目录，引导对接人才资源、研发资源、信息资源、金融资源等服务资源。引导产业集聚区设立公共知识产权服务平台，攻关公共关键技术，推动扩散共享。聚焦三大科创高地和标志性产业链，建设一批对标国际、面向未来的高价值知识产权运营中心，培育一批高价值核心专利和基础专利，形成一批高价值专利组合，组建一批知识产权联盟，打通从高质量专利到专利密集型产品、专利密集型产业的转化通道。积极培育标准必要专利，建立传统产业数字化转型、制造业服务业“两业”融合过程中的知识产权绿色道道。探索地理标志与专利、商标等多类型知识产权协同运用支撑产业创新发展机制。</w:t>
      </w:r>
    </w:p>
    <w:tbl>
      <w:tblPr>
        <w:tblStyle w:val="7"/>
        <w:tblW w:w="8845"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PrEx>
        <w:trPr>
          <w:trHeight w:val="20" w:hRule="atLeast"/>
          <w:jc w:val="center"/>
        </w:trPr>
        <w:tc>
          <w:tcPr>
            <w:tcW w:w="8845" w:type="dxa"/>
            <w:vAlign w:val="top"/>
          </w:tcPr>
          <w:p>
            <w:pPr>
              <w:spacing w:before="240" w:beforeLines="100" w:after="240" w:afterLines="100" w:line="360" w:lineRule="exact"/>
              <w:jc w:val="center"/>
              <w:rPr>
                <w:rFonts w:eastAsia="黑体"/>
                <w:bCs/>
                <w:sz w:val="28"/>
              </w:rPr>
            </w:pPr>
            <w:r>
              <w:rPr>
                <w:rFonts w:eastAsia="黑体"/>
                <w:bCs/>
                <w:sz w:val="28"/>
              </w:rPr>
              <w:t>专栏5</w:t>
            </w:r>
            <w:r>
              <w:rPr>
                <w:rFonts w:hint="eastAsia" w:eastAsia="黑体"/>
                <w:bCs/>
                <w:sz w:val="28"/>
              </w:rPr>
              <w:t xml:space="preserve">  </w:t>
            </w:r>
            <w:r>
              <w:rPr>
                <w:rFonts w:eastAsia="黑体"/>
                <w:bCs/>
                <w:sz w:val="28"/>
              </w:rPr>
              <w:t>杭州城西科创大走廊创新策源地战略支撑工程</w:t>
            </w:r>
          </w:p>
          <w:p>
            <w:pPr>
              <w:spacing w:line="360" w:lineRule="exact"/>
              <w:ind w:firstLine="480" w:firstLineChars="200"/>
              <w:rPr>
                <w:sz w:val="24"/>
              </w:rPr>
            </w:pPr>
            <w:r>
              <w:rPr>
                <w:sz w:val="24"/>
              </w:rPr>
              <w:t>围绕“互联网+”、新材料、生命健康三大科创高地建设，实施知识产权优先策略，全面提升杭州城西科创大走廊知识产权创造、保护、运用、管理、服务能力，促进高端知识产权服务与区域产业融合发展，全面发挥知识产权对创新策源地建设的重大战略支撑作用。</w:t>
            </w:r>
          </w:p>
          <w:p>
            <w:pPr>
              <w:spacing w:line="360" w:lineRule="exact"/>
              <w:ind w:firstLine="480" w:firstLineChars="200"/>
              <w:rPr>
                <w:sz w:val="24"/>
              </w:rPr>
            </w:pPr>
            <w:r>
              <w:rPr>
                <w:sz w:val="24"/>
              </w:rPr>
              <w:t>1.</w:t>
            </w:r>
            <w:r>
              <w:rPr>
                <w:rFonts w:hint="eastAsia"/>
                <w:sz w:val="24"/>
              </w:rPr>
              <w:t xml:space="preserve"> </w:t>
            </w:r>
            <w:r>
              <w:rPr>
                <w:rFonts w:eastAsia="楷体_GB2312"/>
                <w:sz w:val="24"/>
              </w:rPr>
              <w:t>打造高价值创造集聚地。</w:t>
            </w:r>
            <w:r>
              <w:rPr>
                <w:sz w:val="24"/>
              </w:rPr>
              <w:t>大力推行企业知识产权管理国家标准，实施知识产权强企工程，鼓励企业积极争创国家知识产权示范优势企业。聚焦5G、人工智能、新材料、生命健康等重点领域，实施高价值专利培育工程，打造一批标准必要专利、基础研发专利和高价值专利组合。引导和鼓励创新主体开展国际专利布局，构建国际竞争新优势。</w:t>
            </w:r>
          </w:p>
          <w:p>
            <w:pPr>
              <w:spacing w:line="360" w:lineRule="exact"/>
              <w:ind w:firstLine="480" w:firstLineChars="200"/>
              <w:rPr>
                <w:sz w:val="24"/>
              </w:rPr>
            </w:pPr>
            <w:r>
              <w:rPr>
                <w:sz w:val="24"/>
              </w:rPr>
              <w:t>2.</w:t>
            </w:r>
            <w:r>
              <w:rPr>
                <w:rFonts w:hint="eastAsia"/>
                <w:sz w:val="24"/>
              </w:rPr>
              <w:t xml:space="preserve"> </w:t>
            </w:r>
            <w:r>
              <w:rPr>
                <w:rFonts w:eastAsia="楷体_GB2312"/>
                <w:sz w:val="24"/>
              </w:rPr>
              <w:t>打造知识产权保护高地。</w:t>
            </w:r>
            <w:r>
              <w:rPr>
                <w:sz w:val="24"/>
              </w:rPr>
              <w:t>创新中国（浙江）知识产权保护中心合作新模式，推进杭州知识产权法庭（未来科技城）巡回审判庭、浙江（杭州）知识产权诉调中心的建设，形成知识产权保护综合治理机制。开通知识产权保护“直通车”，加强数字经济、生命健康、新材料等重点产业高价值知识产权保护，探索知识产权护航企业上市工作模式。</w:t>
            </w:r>
          </w:p>
          <w:p>
            <w:pPr>
              <w:spacing w:line="360" w:lineRule="exact"/>
              <w:ind w:firstLine="480" w:firstLineChars="200"/>
              <w:rPr>
                <w:sz w:val="24"/>
              </w:rPr>
            </w:pPr>
            <w:r>
              <w:rPr>
                <w:sz w:val="24"/>
              </w:rPr>
              <w:t>3.</w:t>
            </w:r>
            <w:r>
              <w:rPr>
                <w:rFonts w:hint="eastAsia"/>
                <w:sz w:val="24"/>
              </w:rPr>
              <w:t xml:space="preserve"> </w:t>
            </w:r>
            <w:r>
              <w:rPr>
                <w:rFonts w:eastAsia="楷体_GB2312"/>
                <w:sz w:val="24"/>
              </w:rPr>
              <w:t>打造知识产权运营枢纽。</w:t>
            </w:r>
            <w:r>
              <w:rPr>
                <w:sz w:val="24"/>
              </w:rPr>
              <w:t>积极争取国家人工智能知识产权运营中心、中国物品编码中心长三角分中心和知识产权交易所落户。大力发展知识产权高端服务业，建设国家级知识产权服务业集聚区，创新公共服务机制和用人机制，强化专利、品牌、标准集成服务。完善浙江（杭州）知识产权创新产业园的服务体系，扩大知识产权服务专业园区辐射范围。加强知识产权人才培养，加大国内外高端知识产权人才招引力度，形成知识产权人才竞争新优势。优化杭州知识产权运营公共服务平台建设，建设知识产权运营服务专题数据库，发挥杭州城西科创大走廊知识产权运营枢纽作用。</w:t>
            </w:r>
          </w:p>
          <w:p>
            <w:pPr>
              <w:spacing w:line="360" w:lineRule="exact"/>
              <w:ind w:firstLine="480" w:firstLineChars="200"/>
              <w:rPr>
                <w:sz w:val="24"/>
              </w:rPr>
            </w:pPr>
            <w:r>
              <w:rPr>
                <w:sz w:val="24"/>
              </w:rPr>
              <w:t>4.</w:t>
            </w:r>
            <w:r>
              <w:rPr>
                <w:rFonts w:hint="eastAsia"/>
                <w:sz w:val="24"/>
              </w:rPr>
              <w:t xml:space="preserve"> </w:t>
            </w:r>
            <w:r>
              <w:rPr>
                <w:rFonts w:eastAsia="楷体_GB2312"/>
                <w:sz w:val="24"/>
              </w:rPr>
              <w:t>率先探索知识产权证券化。</w:t>
            </w:r>
            <w:r>
              <w:rPr>
                <w:sz w:val="24"/>
              </w:rPr>
              <w:t>强化知识产权金融产品创新，探索以企业知识产权未来价值收益权为基础的知识产权证券化新渠道。探索产业知识产权运营和专利技术成果转化的商业模式，支持企业将知识产权纳入财务报表，促进知识产权出资入股，形成一批可复制、可推广的知识产权证券化城西科创大走廊模式。</w:t>
            </w:r>
          </w:p>
          <w:p>
            <w:pPr>
              <w:spacing w:line="360" w:lineRule="exact"/>
              <w:ind w:firstLine="480" w:firstLineChars="200"/>
              <w:rPr>
                <w:sz w:val="24"/>
              </w:rPr>
            </w:pPr>
            <w:r>
              <w:rPr>
                <w:sz w:val="24"/>
              </w:rPr>
              <w:t>到2025年，杭州城西科创大走廊PCT国际专利申请量达到500件，主导或参与制修订国际（国家）标准数达到60项，形成一批有效支撑产业发展和国际竞争的高价值专利组合，创新主体运用知识产权参与全球化竞争能力迈上新台阶。</w:t>
            </w:r>
          </w:p>
        </w:tc>
      </w:tr>
    </w:tbl>
    <w:p>
      <w:pPr>
        <w:spacing w:line="590" w:lineRule="exact"/>
        <w:ind w:firstLine="640" w:firstLineChars="200"/>
        <w:outlineLvl w:val="1"/>
        <w:rPr>
          <w:rFonts w:eastAsia="楷体_GB2312"/>
          <w:szCs w:val="32"/>
        </w:rPr>
      </w:pPr>
      <w:bookmarkStart w:id="19" w:name="_Toc56782716"/>
      <w:r>
        <w:rPr>
          <w:rFonts w:eastAsia="楷体_GB2312"/>
          <w:szCs w:val="32"/>
        </w:rPr>
        <w:t>（二）推进知识产权示范区建设</w:t>
      </w:r>
      <w:bookmarkEnd w:id="19"/>
    </w:p>
    <w:p>
      <w:pPr>
        <w:spacing w:line="590" w:lineRule="exact"/>
        <w:ind w:firstLine="640" w:firstLineChars="200"/>
        <w:rPr>
          <w:szCs w:val="32"/>
        </w:rPr>
      </w:pPr>
      <w:r>
        <w:rPr>
          <w:szCs w:val="32"/>
        </w:rPr>
        <w:t>建立健全以市场为导向的高质量知识产权政策激励体系，形成特色鲜明、优势互补、高质量发展的知识产权区域协调发展新机制。争创国家知识产权保护试点示范区，加快推进知识产权强市强县建设，完善评估机制，推进上下联动、资源共享，促进形成区域差异化优势。支持杭州、宁波、温州等市创建国家知识产权强市。培育一批知识产权保护规范化市场，推进全国版权示范城市、示范单位和示范园区建设。推广“龙头企业+专业合作社+生产基地”产业化模式，争创国家地理标志产品保护示范区。持续深入开展商业秘密保护“十区百县千企”示范基地建设工作。支持高新园区、特色产业基地等建设专利导航产业发展实验区。</w:t>
      </w:r>
    </w:p>
    <w:tbl>
      <w:tblPr>
        <w:tblStyle w:val="7"/>
        <w:tblW w:w="8845"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PrEx>
        <w:trPr>
          <w:trHeight w:val="20" w:hRule="atLeast"/>
          <w:jc w:val="center"/>
        </w:trPr>
        <w:tc>
          <w:tcPr>
            <w:tcW w:w="8845" w:type="dxa"/>
            <w:vAlign w:val="top"/>
          </w:tcPr>
          <w:p>
            <w:pPr>
              <w:spacing w:before="240" w:beforeLines="100" w:after="240" w:afterLines="100" w:line="360" w:lineRule="exact"/>
              <w:jc w:val="center"/>
              <w:rPr>
                <w:rFonts w:eastAsia="黑体"/>
                <w:bCs/>
                <w:sz w:val="28"/>
              </w:rPr>
            </w:pPr>
            <w:r>
              <w:rPr>
                <w:rFonts w:eastAsia="黑体"/>
                <w:bCs/>
                <w:sz w:val="28"/>
              </w:rPr>
              <w:t>专栏6</w:t>
            </w:r>
            <w:r>
              <w:rPr>
                <w:rFonts w:hint="eastAsia" w:eastAsia="黑体"/>
                <w:bCs/>
                <w:sz w:val="28"/>
              </w:rPr>
              <w:t xml:space="preserve">  </w:t>
            </w:r>
            <w:r>
              <w:rPr>
                <w:rFonts w:eastAsia="黑体"/>
                <w:bCs/>
                <w:sz w:val="28"/>
              </w:rPr>
              <w:t>知识产权区域示范创强工程</w:t>
            </w:r>
          </w:p>
          <w:p>
            <w:pPr>
              <w:spacing w:line="360" w:lineRule="exact"/>
              <w:ind w:firstLine="480" w:firstLineChars="200"/>
              <w:rPr>
                <w:sz w:val="24"/>
              </w:rPr>
            </w:pPr>
            <w:r>
              <w:rPr>
                <w:sz w:val="24"/>
              </w:rPr>
              <w:t>1.</w:t>
            </w:r>
            <w:r>
              <w:rPr>
                <w:rFonts w:hint="eastAsia"/>
                <w:sz w:val="24"/>
              </w:rPr>
              <w:t xml:space="preserve"> </w:t>
            </w:r>
            <w:r>
              <w:rPr>
                <w:sz w:val="24"/>
              </w:rPr>
              <w:t>支持杭州市建设引领型知识产权强市，支持萧山区、富阳区、</w:t>
            </w:r>
            <w:r>
              <w:rPr>
                <w:rFonts w:hint="eastAsia"/>
                <w:sz w:val="24"/>
              </w:rPr>
              <w:t>上城区</w:t>
            </w:r>
            <w:r>
              <w:rPr>
                <w:sz w:val="24"/>
              </w:rPr>
              <w:t>、钱塘区创建国家知识产权强县（园区），支持杭州高新区（滨江）、未来科技城高标准升级建设国家知识产权服务业集聚发展示范区，支持拱墅区、西湖区等地创建省级知识产权服务业集聚发展示范区。</w:t>
            </w:r>
          </w:p>
          <w:p>
            <w:pPr>
              <w:spacing w:line="360" w:lineRule="exact"/>
              <w:ind w:firstLine="480" w:firstLineChars="200"/>
              <w:rPr>
                <w:sz w:val="24"/>
              </w:rPr>
            </w:pPr>
            <w:r>
              <w:rPr>
                <w:sz w:val="24"/>
              </w:rPr>
              <w:t>2.</w:t>
            </w:r>
            <w:r>
              <w:rPr>
                <w:rFonts w:hint="eastAsia"/>
                <w:sz w:val="24"/>
              </w:rPr>
              <w:t xml:space="preserve"> </w:t>
            </w:r>
            <w:r>
              <w:rPr>
                <w:sz w:val="24"/>
              </w:rPr>
              <w:t>支持宁波市创建国家知识产权强市、国家知识产权服务业集聚区和国家科技成果转移转化示范区，支持慈溪市、余姚市、北仑区创建国家知识产权强县（市、区）。强化“246”万千亿级产业集群建设、“3433”服务业倍增发展行动、“4566”乡村产业振兴行动的知识产权战略支撑作用，打造一批知识产权强企。</w:t>
            </w:r>
          </w:p>
          <w:p>
            <w:pPr>
              <w:spacing w:line="360" w:lineRule="exact"/>
              <w:ind w:firstLine="480" w:firstLineChars="200"/>
              <w:rPr>
                <w:sz w:val="24"/>
              </w:rPr>
            </w:pPr>
            <w:r>
              <w:rPr>
                <w:sz w:val="24"/>
              </w:rPr>
              <w:t>3.</w:t>
            </w:r>
            <w:r>
              <w:rPr>
                <w:rFonts w:hint="eastAsia"/>
                <w:sz w:val="24"/>
              </w:rPr>
              <w:t xml:space="preserve"> </w:t>
            </w:r>
            <w:r>
              <w:rPr>
                <w:sz w:val="24"/>
              </w:rPr>
              <w:t>支持温州市建设知识产权强市，创建国家级知识产权服务业集聚区，有力支撑新时代“两个健康”先行区建设，面向眼镜、教玩具、印制、汽摩配、电气、按摩器具、宠物商品等打造一批工业区域公用品牌，打造知识产权服务区域发展“温州模式”。</w:t>
            </w:r>
          </w:p>
          <w:p>
            <w:pPr>
              <w:spacing w:line="360" w:lineRule="exact"/>
              <w:ind w:firstLine="480" w:firstLineChars="200"/>
              <w:rPr>
                <w:sz w:val="24"/>
              </w:rPr>
            </w:pPr>
            <w:r>
              <w:rPr>
                <w:sz w:val="24"/>
              </w:rPr>
              <w:t>4.</w:t>
            </w:r>
            <w:r>
              <w:rPr>
                <w:rFonts w:hint="eastAsia"/>
                <w:sz w:val="24"/>
              </w:rPr>
              <w:t xml:space="preserve"> </w:t>
            </w:r>
            <w:r>
              <w:rPr>
                <w:sz w:val="24"/>
              </w:rPr>
              <w:t>高标准推进湖州市全域示范创强工作，支持湖州市打造全国绿色智造名城，争取国家绿色技术知识产权交易中心落户。</w:t>
            </w:r>
          </w:p>
          <w:p>
            <w:pPr>
              <w:spacing w:line="360" w:lineRule="exact"/>
              <w:ind w:firstLine="480" w:firstLineChars="200"/>
              <w:rPr>
                <w:sz w:val="24"/>
              </w:rPr>
            </w:pPr>
            <w:r>
              <w:rPr>
                <w:sz w:val="24"/>
              </w:rPr>
              <w:t>5.</w:t>
            </w:r>
            <w:r>
              <w:rPr>
                <w:rFonts w:hint="eastAsia"/>
                <w:sz w:val="24"/>
              </w:rPr>
              <w:t xml:space="preserve"> </w:t>
            </w:r>
            <w:r>
              <w:rPr>
                <w:sz w:val="24"/>
              </w:rPr>
              <w:t>支持嘉兴市推进县（市、区）知识产权试点示范全覆盖，推进中国（嘉兴）知识产权保护中心建设，支持嘉兴学院建设知识产权学院。</w:t>
            </w:r>
          </w:p>
          <w:p>
            <w:pPr>
              <w:spacing w:line="360" w:lineRule="exact"/>
              <w:ind w:firstLine="480" w:firstLineChars="200"/>
              <w:rPr>
                <w:sz w:val="24"/>
              </w:rPr>
            </w:pPr>
            <w:r>
              <w:rPr>
                <w:sz w:val="24"/>
              </w:rPr>
              <w:t>6.</w:t>
            </w:r>
            <w:r>
              <w:rPr>
                <w:rFonts w:hint="eastAsia"/>
                <w:sz w:val="24"/>
              </w:rPr>
              <w:t xml:space="preserve"> </w:t>
            </w:r>
            <w:r>
              <w:rPr>
                <w:sz w:val="24"/>
              </w:rPr>
              <w:t>支持绍兴市创建国家知识产权示范城市和强市，打造集成电路、高端生物医药、先进高分子材料“万亩千亿”新产业和科创、文创“两廊”建设，创新推广知识产权纠纷处理“枫桥经验”，支持新昌县、柯桥区创建国家知识产权强县（区）。</w:t>
            </w:r>
          </w:p>
          <w:p>
            <w:pPr>
              <w:spacing w:line="360" w:lineRule="exact"/>
              <w:ind w:firstLine="480" w:firstLineChars="200"/>
              <w:rPr>
                <w:sz w:val="24"/>
              </w:rPr>
            </w:pPr>
            <w:r>
              <w:rPr>
                <w:sz w:val="24"/>
              </w:rPr>
              <w:t>7.</w:t>
            </w:r>
            <w:r>
              <w:rPr>
                <w:rFonts w:hint="eastAsia"/>
                <w:sz w:val="24"/>
              </w:rPr>
              <w:t xml:space="preserve"> </w:t>
            </w:r>
            <w:r>
              <w:rPr>
                <w:sz w:val="24"/>
              </w:rPr>
              <w:t>支持金华义乌国际贸易改革试验区建设，推进义乌市、开发区知识产权服务业集聚区建设，支持金华市推进“金华火腿”地理标志产品立法，支持磐安县创建国家地理标志保护示范县。</w:t>
            </w:r>
          </w:p>
          <w:p>
            <w:pPr>
              <w:spacing w:line="360" w:lineRule="exact"/>
              <w:ind w:firstLine="480" w:firstLineChars="200"/>
              <w:rPr>
                <w:sz w:val="24"/>
              </w:rPr>
            </w:pPr>
            <w:r>
              <w:rPr>
                <w:sz w:val="24"/>
              </w:rPr>
              <w:t>8.</w:t>
            </w:r>
            <w:r>
              <w:rPr>
                <w:rFonts w:hint="eastAsia"/>
                <w:sz w:val="24"/>
              </w:rPr>
              <w:t xml:space="preserve"> </w:t>
            </w:r>
            <w:r>
              <w:rPr>
                <w:sz w:val="24"/>
              </w:rPr>
              <w:t>支持丽水浙江大花园最美核心区、全国生态产品价值实现机制示范区建设，高水平打造“丽水山耕”“丽水山居”“丽水山泉”“丽水山景”特色系列区域品牌，争创国家地理标志保护示范区。</w:t>
            </w:r>
          </w:p>
          <w:p>
            <w:pPr>
              <w:spacing w:line="360" w:lineRule="exact"/>
              <w:ind w:firstLine="480" w:firstLineChars="200"/>
              <w:rPr>
                <w:sz w:val="24"/>
              </w:rPr>
            </w:pPr>
            <w:r>
              <w:rPr>
                <w:sz w:val="24"/>
              </w:rPr>
              <w:t>9.</w:t>
            </w:r>
            <w:r>
              <w:rPr>
                <w:rFonts w:hint="eastAsia"/>
                <w:sz w:val="24"/>
              </w:rPr>
              <w:t xml:space="preserve"> </w:t>
            </w:r>
            <w:r>
              <w:rPr>
                <w:sz w:val="24"/>
              </w:rPr>
              <w:t>支持衢州建设国家知识产权示范城市，打造“四省边际中心城市”，推动“5459”大产业创新体系建设。扎实推进中国（衢州）跨境电子商务综合试验区建设知识产权服务，构建知识产权质押政策性融资担保体系。</w:t>
            </w:r>
          </w:p>
          <w:p>
            <w:pPr>
              <w:spacing w:line="360" w:lineRule="exact"/>
              <w:ind w:firstLine="480" w:firstLineChars="200"/>
              <w:rPr>
                <w:sz w:val="24"/>
              </w:rPr>
            </w:pPr>
            <w:r>
              <w:rPr>
                <w:sz w:val="24"/>
              </w:rPr>
              <w:t>10.</w:t>
            </w:r>
            <w:r>
              <w:rPr>
                <w:rFonts w:hint="eastAsia"/>
                <w:sz w:val="24"/>
              </w:rPr>
              <w:t xml:space="preserve"> </w:t>
            </w:r>
            <w:r>
              <w:rPr>
                <w:sz w:val="24"/>
              </w:rPr>
              <w:t>支持台州创建国家知识产权示范城市、国家级知识产权服务业集聚区、中国（台州）知识产权保护中心，推进“456”先进产业集群建设，打造先进“制造之都”，再创民营经济新辉煌。支持椒江、温岭、天台等县（市、区）创建国家知识产权强县和国家知识产权快速维权中心，支持温岭市、临海市打造县域知识产权保护台州经验</w:t>
            </w:r>
          </w:p>
          <w:p>
            <w:pPr>
              <w:spacing w:line="360" w:lineRule="exact"/>
              <w:ind w:firstLine="480" w:firstLineChars="200"/>
              <w:rPr>
                <w:sz w:val="24"/>
              </w:rPr>
            </w:pPr>
            <w:r>
              <w:rPr>
                <w:sz w:val="24"/>
              </w:rPr>
              <w:t>11.</w:t>
            </w:r>
            <w:r>
              <w:rPr>
                <w:rFonts w:hint="eastAsia"/>
                <w:sz w:val="24"/>
              </w:rPr>
              <w:t xml:space="preserve"> </w:t>
            </w:r>
            <w:r>
              <w:rPr>
                <w:sz w:val="24"/>
              </w:rPr>
              <w:t>支持舟山市建设浙江自贸区（舟山片区）知识产权保护中心，推动绿色石化产业、船舶与海洋工程装备制造、海洋生物与水产品精深加工、海洋电子信息等七大产业高质量发展。</w:t>
            </w:r>
          </w:p>
        </w:tc>
      </w:tr>
    </w:tbl>
    <w:p>
      <w:pPr>
        <w:spacing w:line="590" w:lineRule="exact"/>
        <w:ind w:firstLine="640" w:firstLineChars="200"/>
        <w:outlineLvl w:val="1"/>
        <w:rPr>
          <w:rFonts w:eastAsia="楷体_GB2312"/>
          <w:szCs w:val="32"/>
        </w:rPr>
      </w:pPr>
      <w:bookmarkStart w:id="20" w:name="_Toc56782717"/>
      <w:r>
        <w:rPr>
          <w:rFonts w:eastAsia="楷体_GB2312"/>
          <w:szCs w:val="32"/>
        </w:rPr>
        <w:t>（三）加大知识产权投融资力度</w:t>
      </w:r>
      <w:bookmarkEnd w:id="20"/>
    </w:p>
    <w:p>
      <w:pPr>
        <w:spacing w:line="590" w:lineRule="exact"/>
        <w:ind w:firstLine="640" w:firstLineChars="200"/>
        <w:rPr>
          <w:szCs w:val="32"/>
        </w:rPr>
      </w:pPr>
      <w:r>
        <w:rPr>
          <w:szCs w:val="32"/>
        </w:rPr>
        <w:t>实施科技型企业上市知识产权护航行动，积极推动知识产权金融产品、模式和服务创新。鼓励设立产业知识产权投资基金，发展天使风险投资，完善利益共享机制。支持知识产权以作价入股、证券化等方式，促进初创企业、小微企业的知识产权价值实现。鼓励地方设立知识产权风险补偿基金，完善知识产权质押政策性融资担保体系，推广知识产权保险业务。实施知识产权质押登记全流程线上办理改革，推广知识产权质押基础上配套“投贷联动”等金融服务，支持制造业企业科技创新。研究知识产权价值评估管理标准，加强知识产权资产评估管理和工具供给。</w:t>
      </w:r>
    </w:p>
    <w:p>
      <w:pPr>
        <w:spacing w:line="590" w:lineRule="exact"/>
        <w:ind w:firstLine="640" w:firstLineChars="200"/>
        <w:outlineLvl w:val="1"/>
        <w:rPr>
          <w:rFonts w:eastAsia="楷体_GB2312"/>
          <w:szCs w:val="32"/>
        </w:rPr>
      </w:pPr>
      <w:bookmarkStart w:id="21" w:name="_Toc56782718"/>
      <w:r>
        <w:rPr>
          <w:rFonts w:eastAsia="楷体_GB2312"/>
          <w:szCs w:val="32"/>
        </w:rPr>
        <w:t>（四）促进知识产权成果交易转化</w:t>
      </w:r>
      <w:bookmarkEnd w:id="21"/>
    </w:p>
    <w:p>
      <w:pPr>
        <w:spacing w:line="590" w:lineRule="exact"/>
        <w:ind w:firstLine="640" w:firstLineChars="200"/>
        <w:rPr>
          <w:szCs w:val="32"/>
        </w:rPr>
      </w:pPr>
      <w:r>
        <w:rPr>
          <w:szCs w:val="32"/>
        </w:rPr>
        <w:t>完善知识产权交易政策体系，打造以专利开放许可和知识产权交易为重点，交易品种全覆盖、线上线下相结合的全国一流高价值知识产权运营公共服务平台，打通知识产权化、产权股权化、股权市场化的知识产权转化路径。推动浙江知识产权交易中心等重点交易平台建设，推进知识产权质押融资线上拍卖处置绿色通道建设，打造全国创新资源集聚区、成果转化核心地。完善地理标志运用促进体系，试点发展“标志-产品-品牌-产业”发展路径，引导优势农产品企业加强商标品牌运作，不断延伸农业产业链、提升价值链，推动地理标志与互联网、电子商务、文化创意、生态旅游等产业深度融合。充分发挥杭州、宁波、台州等国家知识产权运营服务体系建设重点城市作用，健全技术创新、专利与标准化互动支撑机制。</w:t>
      </w:r>
    </w:p>
    <w:tbl>
      <w:tblPr>
        <w:tblStyle w:val="7"/>
        <w:tblW w:w="8845"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PrEx>
        <w:trPr>
          <w:trHeight w:val="20" w:hRule="atLeast"/>
          <w:jc w:val="center"/>
        </w:trPr>
        <w:tc>
          <w:tcPr>
            <w:tcW w:w="8845" w:type="dxa"/>
            <w:vAlign w:val="top"/>
          </w:tcPr>
          <w:p>
            <w:pPr>
              <w:spacing w:before="240" w:beforeLines="100" w:after="240" w:afterLines="100" w:line="360" w:lineRule="exact"/>
              <w:jc w:val="center"/>
              <w:rPr>
                <w:rFonts w:eastAsia="黑体"/>
                <w:bCs/>
                <w:sz w:val="28"/>
              </w:rPr>
            </w:pPr>
            <w:r>
              <w:rPr>
                <w:rFonts w:eastAsia="黑体"/>
                <w:bCs/>
                <w:sz w:val="28"/>
              </w:rPr>
              <w:t>专栏7</w:t>
            </w:r>
            <w:r>
              <w:rPr>
                <w:rFonts w:hint="eastAsia" w:eastAsia="黑体"/>
                <w:bCs/>
                <w:sz w:val="28"/>
              </w:rPr>
              <w:t xml:space="preserve">  </w:t>
            </w:r>
            <w:r>
              <w:rPr>
                <w:rFonts w:eastAsia="黑体"/>
                <w:bCs/>
                <w:sz w:val="28"/>
              </w:rPr>
              <w:t>重点产业高价值知识产权转化工程</w:t>
            </w:r>
          </w:p>
          <w:p>
            <w:pPr>
              <w:spacing w:line="360" w:lineRule="exact"/>
              <w:ind w:firstLine="480" w:firstLineChars="200"/>
              <w:rPr>
                <w:sz w:val="24"/>
              </w:rPr>
            </w:pPr>
            <w:r>
              <w:rPr>
                <w:sz w:val="24"/>
              </w:rPr>
              <w:t>围绕数字经济、生命健康、新材料三大重点产业，实施一批专利导航，布局一批高价值知识产权培育平台，形成一批具有国际竞争水平的高价值知识产权组合。</w:t>
            </w:r>
          </w:p>
          <w:p>
            <w:pPr>
              <w:spacing w:line="360" w:lineRule="exact"/>
              <w:ind w:firstLine="480" w:firstLineChars="200"/>
              <w:rPr>
                <w:sz w:val="24"/>
              </w:rPr>
            </w:pPr>
            <w:r>
              <w:rPr>
                <w:sz w:val="24"/>
              </w:rPr>
              <w:t>1.</w:t>
            </w:r>
            <w:r>
              <w:rPr>
                <w:rFonts w:hint="eastAsia"/>
                <w:sz w:val="24"/>
              </w:rPr>
              <w:t xml:space="preserve"> </w:t>
            </w:r>
            <w:r>
              <w:rPr>
                <w:sz w:val="24"/>
              </w:rPr>
              <w:t>深入实施数字经济“一号工程”，加快数字经济领域高价值核心发明专利布局，在高端芯片、人工智能、未来网络、工业互联网、智能数据等数字技术领域形成一批具有国际先进水平的高价值专利组合和标准必要专利, 在区块链、量子信息、柔性电子、虚拟现实等重点领域提前布局一批国际专利。运用专利技术加快传统产业、传统基础设施数字化改造。到2025年，全省数字经济领域有效高价值核心发明专利达到9万件。</w:t>
            </w:r>
          </w:p>
          <w:p>
            <w:pPr>
              <w:spacing w:line="360" w:lineRule="exact"/>
              <w:ind w:firstLine="480" w:firstLineChars="200"/>
              <w:rPr>
                <w:sz w:val="24"/>
              </w:rPr>
            </w:pPr>
            <w:r>
              <w:rPr>
                <w:sz w:val="24"/>
              </w:rPr>
              <w:t>2.</w:t>
            </w:r>
            <w:r>
              <w:rPr>
                <w:rFonts w:hint="eastAsia"/>
                <w:sz w:val="24"/>
              </w:rPr>
              <w:t xml:space="preserve"> </w:t>
            </w:r>
            <w:r>
              <w:rPr>
                <w:sz w:val="24"/>
              </w:rPr>
              <w:t>提升新材料产业国际竞争地位，强化前沿新材料知识产权攻关，在先进钢铁材料、先进有色金属材料、先进石化化工新材料、先进无机非金属材料、高性能纤维及制品和复合材料领域形成一批高价值知识产权组合。力争到2025年，全省新材料产业有效核心发明专利达到4万件。</w:t>
            </w:r>
          </w:p>
          <w:p>
            <w:pPr>
              <w:spacing w:line="360" w:lineRule="exact"/>
              <w:ind w:firstLine="480" w:firstLineChars="200"/>
              <w:rPr>
                <w:sz w:val="24"/>
              </w:rPr>
            </w:pPr>
            <w:r>
              <w:rPr>
                <w:sz w:val="24"/>
              </w:rPr>
              <w:t>3. 加快生命健康领域高价值知识产权攻关和国际布局，在新药研发、原料药、化学药品、生物药品、植入介入器械、康复设备和互联网医疗数据服务等领域形成一批高价值专利组合和运用成果。力争到2025年，全省生命健康领域有效核心发明专利达到2万件。</w:t>
            </w:r>
          </w:p>
        </w:tc>
      </w:tr>
    </w:tbl>
    <w:p>
      <w:pPr>
        <w:spacing w:line="590" w:lineRule="exact"/>
        <w:ind w:firstLine="640" w:firstLineChars="200"/>
        <w:outlineLvl w:val="0"/>
        <w:rPr>
          <w:rFonts w:eastAsia="黑体"/>
          <w:bCs/>
          <w:kern w:val="44"/>
          <w:szCs w:val="32"/>
        </w:rPr>
      </w:pPr>
      <w:bookmarkStart w:id="22" w:name="_Toc56782719"/>
      <w:r>
        <w:rPr>
          <w:rFonts w:eastAsia="黑体"/>
          <w:bCs/>
          <w:kern w:val="44"/>
          <w:szCs w:val="32"/>
        </w:rPr>
        <w:t>五、聚焦全链条，多元治理、多措并举，筑建知识产权保护新高地</w:t>
      </w:r>
      <w:bookmarkEnd w:id="22"/>
    </w:p>
    <w:p>
      <w:pPr>
        <w:spacing w:line="590" w:lineRule="exact"/>
        <w:ind w:firstLine="640" w:firstLineChars="200"/>
        <w:outlineLvl w:val="1"/>
        <w:rPr>
          <w:rFonts w:eastAsia="楷体_GB2312"/>
          <w:szCs w:val="32"/>
        </w:rPr>
      </w:pPr>
      <w:bookmarkStart w:id="23" w:name="_Toc56782720"/>
      <w:r>
        <w:rPr>
          <w:rFonts w:eastAsia="楷体_GB2312"/>
          <w:szCs w:val="32"/>
        </w:rPr>
        <w:t>（一）确立知识产权“严保护”政策导向</w:t>
      </w:r>
      <w:bookmarkEnd w:id="23"/>
    </w:p>
    <w:p>
      <w:pPr>
        <w:spacing w:line="590" w:lineRule="exact"/>
        <w:ind w:firstLine="640" w:firstLineChars="200"/>
        <w:rPr>
          <w:szCs w:val="32"/>
        </w:rPr>
      </w:pPr>
      <w:r>
        <w:rPr>
          <w:szCs w:val="32"/>
        </w:rPr>
        <w:t>积极适用惩罚性赔偿制度，细化明确适用条件和案件类型，加大对源头侵权、重复侵权、恶意侵权和规模侵权行为的赔偿力度。健全知识产权刑事司法保护协调机制，加强检察机关法律监督，严格落实宽严相济刑事政策。加大行政执法力度，强化关键领域、重点环节、重点群体行政执法专项行动。强化海关知识产权执法，加强进出口领域知识产权保护。加大文化市场知识产权执法力度，重点推进网络表演、网络音乐、网络动漫市场的规范整治，严肃查处侵权盗版和进出口侵权假冒行为。完善电商知识产权保护规则，细化明确网络平台主体责任、跨境电商和电商直播平台法律责任，严格网络平台属地管理。研究制定公证电子存证和第三方电子存证的审查认定标准。强化诉源治理，打击虚假诉讼、恶意诉讼，遏制滥用知识产权牟取不正当利益。强化知识产权反垄断和反不正当竞争工作。</w:t>
      </w:r>
    </w:p>
    <w:p>
      <w:pPr>
        <w:spacing w:line="590" w:lineRule="exact"/>
        <w:ind w:firstLine="640" w:firstLineChars="200"/>
        <w:outlineLvl w:val="1"/>
        <w:rPr>
          <w:rFonts w:eastAsia="楷体_GB2312"/>
          <w:szCs w:val="32"/>
        </w:rPr>
      </w:pPr>
      <w:bookmarkStart w:id="24" w:name="_Toc56782721"/>
      <w:r>
        <w:rPr>
          <w:rFonts w:eastAsia="楷体_GB2312"/>
          <w:szCs w:val="32"/>
        </w:rPr>
        <w:t>（二）构建知识产权“大保护”工作格局</w:t>
      </w:r>
      <w:bookmarkEnd w:id="24"/>
    </w:p>
    <w:p>
      <w:pPr>
        <w:spacing w:line="590" w:lineRule="exact"/>
        <w:ind w:firstLine="640" w:firstLineChars="200"/>
        <w:rPr>
          <w:szCs w:val="32"/>
        </w:rPr>
      </w:pPr>
      <w:r>
        <w:rPr>
          <w:szCs w:val="32"/>
        </w:rPr>
        <w:t>争取在我省设立知识产权法院，加强杭州、宁波知识产权法庭建设，完善跨区域审判协作机制。加强知识产权民事、刑事、行政案件“三合一”审判，统一执法标准，提升保护合力。健全重大案件联合查办和移交机制，完善案件移送要求和证据标准，顺畅行政执法和刑事司法衔接。在无知识产权案件管辖权的创新活跃地区的基层人民法院，设立知识产权司法保护服务中心。全面实施“双随机、一公开”，强化专利、商标、商业秘密等领域联合执法，加强驰名商标、老字号、植物新品种保护。完善知识产权纠纷多元化解机制，发挥当地矛盾纠纷调处化解中心作用，构建司法与行政、仲裁、人民调解等相衔接的多元纠纷解决机制，加强知识产权侵权纠纷行政裁决工作。探索建立侵权损害评估制度，培育知识产权鉴定评估机构。建立健全知识产权志愿者制度、专业型人民陪审员制度、审判技术专家制度和技术调查官制度。</w:t>
      </w:r>
    </w:p>
    <w:p>
      <w:pPr>
        <w:spacing w:line="590" w:lineRule="exact"/>
        <w:ind w:firstLine="640" w:firstLineChars="200"/>
        <w:outlineLvl w:val="1"/>
        <w:rPr>
          <w:rFonts w:eastAsia="楷体_GB2312"/>
          <w:szCs w:val="32"/>
        </w:rPr>
      </w:pPr>
      <w:bookmarkStart w:id="25" w:name="_Toc56782722"/>
      <w:r>
        <w:rPr>
          <w:rFonts w:eastAsia="楷体_GB2312"/>
          <w:szCs w:val="32"/>
        </w:rPr>
        <w:t>（三）突破知识产权“快保护”关键环节</w:t>
      </w:r>
      <w:bookmarkEnd w:id="25"/>
    </w:p>
    <w:p>
      <w:pPr>
        <w:spacing w:line="590" w:lineRule="exact"/>
        <w:ind w:firstLine="640" w:firstLineChars="200"/>
        <w:rPr>
          <w:szCs w:val="32"/>
        </w:rPr>
      </w:pPr>
      <w:r>
        <w:rPr>
          <w:szCs w:val="32"/>
        </w:rPr>
        <w:t>推进知识产权民事诉讼程序繁简分流改革试点工作。明确电子证据的审查认定标准，依法灵活运用证据规则，合理降低权利人举证苛求。有效发挥诉讼保全、公证保全的制度功能，依法加大依职权调查取证的力度，推行律师调查令制度，依法制裁不予配合调查取证的违法行为。完善类案强制检索、疑难问题解答机制，强化案件质量评查、二审改判分析，统一裁判标准。加强浙江省、杭州市、宁波市等知识产权保护中心建设，新布局一批知识产权保护中心、快速维权中心，建立投诉快速处置机制。开展知识产权保护“直通车”工作，构建知识产权行政保护和服务便捷通道。</w:t>
      </w:r>
    </w:p>
    <w:p>
      <w:pPr>
        <w:spacing w:line="590" w:lineRule="exact"/>
        <w:ind w:firstLine="640" w:firstLineChars="200"/>
        <w:outlineLvl w:val="1"/>
        <w:rPr>
          <w:rFonts w:eastAsia="楷体_GB2312"/>
          <w:szCs w:val="32"/>
        </w:rPr>
      </w:pPr>
      <w:bookmarkStart w:id="26" w:name="_Toc56782723"/>
      <w:r>
        <w:rPr>
          <w:rFonts w:eastAsia="楷体_GB2312"/>
          <w:szCs w:val="32"/>
        </w:rPr>
        <w:t>（四）塑造知识产权“同保护”优越环境</w:t>
      </w:r>
      <w:bookmarkEnd w:id="26"/>
    </w:p>
    <w:p>
      <w:pPr>
        <w:spacing w:line="590" w:lineRule="exact"/>
        <w:ind w:firstLine="640" w:firstLineChars="200"/>
        <w:rPr>
          <w:szCs w:val="32"/>
        </w:rPr>
      </w:pPr>
      <w:r>
        <w:rPr>
          <w:szCs w:val="32"/>
        </w:rPr>
        <w:t>坚持依法平等保护中外知识产权权利人的合法权益。建设国家海外知识产权纠纷应对指导分中心，完善企业海外知识产权纠纷应对指导与援助机制，建立知识产权海外风险预警制度，推动设立海外知识产权诉讼援助机制，鼓励发展海外知识产权相关保险。建立海关和企业协查标准化程式，加强自由贸易试验区知识产权保护。加强知识产权对外许可转让管理，规范涉及核心知识产权的企业并购行为。强化引进高新技术的知识产权保护，借力世界知识产权大会等国际会议、重要国际展会、国际学术交流平台推进国际知识产权交流合作。</w:t>
      </w:r>
    </w:p>
    <w:tbl>
      <w:tblPr>
        <w:tblStyle w:val="7"/>
        <w:tblW w:w="8845"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PrEx>
        <w:trPr>
          <w:trHeight w:val="20" w:hRule="atLeast"/>
          <w:jc w:val="center"/>
        </w:trPr>
        <w:tc>
          <w:tcPr>
            <w:tcW w:w="8845" w:type="dxa"/>
            <w:vAlign w:val="top"/>
          </w:tcPr>
          <w:p>
            <w:pPr>
              <w:spacing w:before="240" w:beforeLines="100" w:after="240" w:afterLines="100" w:line="360" w:lineRule="exact"/>
              <w:jc w:val="center"/>
              <w:rPr>
                <w:rFonts w:eastAsia="黑体"/>
                <w:bCs/>
                <w:sz w:val="28"/>
              </w:rPr>
            </w:pPr>
            <w:r>
              <w:rPr>
                <w:rFonts w:eastAsia="黑体"/>
                <w:bCs/>
                <w:sz w:val="28"/>
              </w:rPr>
              <w:t>专栏8</w:t>
            </w:r>
            <w:r>
              <w:rPr>
                <w:rFonts w:hint="eastAsia" w:eastAsia="黑体"/>
                <w:bCs/>
                <w:sz w:val="28"/>
              </w:rPr>
              <w:t xml:space="preserve">  </w:t>
            </w:r>
            <w:r>
              <w:rPr>
                <w:rFonts w:eastAsia="黑体"/>
                <w:bCs/>
                <w:sz w:val="28"/>
              </w:rPr>
              <w:t>自由贸易试验区知识产权保护提升工程</w:t>
            </w:r>
          </w:p>
          <w:p>
            <w:pPr>
              <w:spacing w:line="360" w:lineRule="exact"/>
              <w:ind w:firstLine="480" w:firstLineChars="200"/>
              <w:rPr>
                <w:sz w:val="24"/>
              </w:rPr>
            </w:pPr>
            <w:r>
              <w:rPr>
                <w:sz w:val="24"/>
              </w:rPr>
              <w:t>针对自由贸易试验区“境内关外”和“一线放开、二线管住”的特征，强化自由贸易试验区知识产权保护。</w:t>
            </w:r>
          </w:p>
          <w:p>
            <w:pPr>
              <w:spacing w:line="360" w:lineRule="exact"/>
              <w:ind w:firstLine="480" w:firstLineChars="200"/>
              <w:rPr>
                <w:sz w:val="24"/>
              </w:rPr>
            </w:pPr>
            <w:r>
              <w:rPr>
                <w:sz w:val="24"/>
              </w:rPr>
              <w:t>1.</w:t>
            </w:r>
            <w:r>
              <w:rPr>
                <w:rFonts w:hint="eastAsia"/>
                <w:sz w:val="24"/>
              </w:rPr>
              <w:t xml:space="preserve"> </w:t>
            </w:r>
            <w:r>
              <w:rPr>
                <w:sz w:val="24"/>
              </w:rPr>
              <w:t>在自由贸易试验区内建立统一的管理和执法体制，实现知识产权的高效监管。进一步确定海关在试验区内的执法权，加强知识产权海关执法在“进境”“出境”货物，“过转通”货物方面的执法力度。</w:t>
            </w:r>
          </w:p>
          <w:p>
            <w:pPr>
              <w:spacing w:line="360" w:lineRule="exact"/>
              <w:ind w:firstLine="480" w:firstLineChars="200"/>
              <w:rPr>
                <w:sz w:val="24"/>
              </w:rPr>
            </w:pPr>
            <w:r>
              <w:rPr>
                <w:sz w:val="24"/>
              </w:rPr>
              <w:t>2.</w:t>
            </w:r>
            <w:r>
              <w:rPr>
                <w:rFonts w:hint="eastAsia"/>
                <w:sz w:val="24"/>
              </w:rPr>
              <w:t xml:space="preserve"> </w:t>
            </w:r>
            <w:r>
              <w:rPr>
                <w:sz w:val="24"/>
              </w:rPr>
              <w:t>加强自由贸易区知识产权监管。围绕涉外贴牌加工、跨境电子商务等特殊贸易业态，完善自贸区知识产权保护规则，探索建立试验区纠纷多元解决机制。</w:t>
            </w:r>
          </w:p>
          <w:p>
            <w:pPr>
              <w:spacing w:line="360" w:lineRule="exact"/>
              <w:ind w:firstLine="480" w:firstLineChars="200"/>
              <w:rPr>
                <w:sz w:val="24"/>
              </w:rPr>
            </w:pPr>
            <w:r>
              <w:rPr>
                <w:sz w:val="24"/>
              </w:rPr>
              <w:t>3.</w:t>
            </w:r>
            <w:r>
              <w:rPr>
                <w:rFonts w:hint="eastAsia"/>
                <w:sz w:val="24"/>
              </w:rPr>
              <w:t xml:space="preserve"> </w:t>
            </w:r>
            <w:r>
              <w:rPr>
                <w:sz w:val="24"/>
              </w:rPr>
              <w:t>实施预警机制，提高保护效率。运用互联网+构建监控系统，形成系统化的网络监控管理，实时跟踪每单货物的进入、存储、转运等环节。加快自贸区知识产权领域信用体系的建设，建立信用黑名单制度。</w:t>
            </w:r>
          </w:p>
        </w:tc>
      </w:tr>
    </w:tbl>
    <w:p>
      <w:pPr>
        <w:spacing w:line="590" w:lineRule="exact"/>
        <w:ind w:firstLine="640" w:firstLineChars="200"/>
        <w:outlineLvl w:val="1"/>
        <w:rPr>
          <w:rFonts w:eastAsia="楷体_GB2312"/>
          <w:szCs w:val="32"/>
        </w:rPr>
      </w:pPr>
      <w:bookmarkStart w:id="27" w:name="_Toc56782724"/>
      <w:r>
        <w:rPr>
          <w:rFonts w:eastAsia="楷体_GB2312"/>
          <w:szCs w:val="32"/>
        </w:rPr>
        <w:t>（五）强化知识产权“智保护”技术支撑</w:t>
      </w:r>
      <w:bookmarkEnd w:id="27"/>
    </w:p>
    <w:p>
      <w:pPr>
        <w:spacing w:line="590" w:lineRule="exact"/>
        <w:ind w:firstLine="640" w:firstLineChars="200"/>
        <w:rPr>
          <w:szCs w:val="32"/>
        </w:rPr>
      </w:pPr>
      <w:r>
        <w:rPr>
          <w:szCs w:val="32"/>
        </w:rPr>
        <w:t>重点支持运用云计算、大数据、物联网、人工智能等数字技术实现新型智慧化治理。加强智慧法院建设，积极研发以3D扫描技术为基础的电子物证保存应用管理系统。进一步发挥专利、商标行政确权远程审理、异地审理制度在重大侵权案件查办中的作用。推广“互联网+”专利执法维权系统，建立数据跑路、电子存证、云上合议等一体化数字流程。明确行政执法过程中的商标、专利侵权判定标准，完善数据化打假情报导侦工作机制，探索创新网上网下一体化查处打击模式。培育本地化的全球知识产权信息服务平台，促进知识产权资源的深度整合和价值挖掘，建立健全信息解决方案与服务机制。</w:t>
      </w:r>
    </w:p>
    <w:tbl>
      <w:tblPr>
        <w:tblStyle w:val="7"/>
        <w:tblW w:w="8845"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PrEx>
        <w:trPr>
          <w:trHeight w:val="20" w:hRule="atLeast"/>
          <w:jc w:val="center"/>
        </w:trPr>
        <w:tc>
          <w:tcPr>
            <w:tcW w:w="8845" w:type="dxa"/>
            <w:vAlign w:val="top"/>
          </w:tcPr>
          <w:p>
            <w:pPr>
              <w:spacing w:before="240" w:beforeLines="100" w:after="240" w:afterLines="100" w:line="360" w:lineRule="exact"/>
              <w:jc w:val="center"/>
              <w:rPr>
                <w:rFonts w:eastAsia="黑体"/>
                <w:bCs/>
                <w:sz w:val="28"/>
              </w:rPr>
            </w:pPr>
            <w:r>
              <w:rPr>
                <w:rFonts w:eastAsia="黑体"/>
                <w:bCs/>
                <w:sz w:val="28"/>
              </w:rPr>
              <w:t>专栏9</w:t>
            </w:r>
            <w:r>
              <w:rPr>
                <w:rFonts w:hint="eastAsia" w:eastAsia="黑体"/>
                <w:bCs/>
                <w:sz w:val="28"/>
              </w:rPr>
              <w:t xml:space="preserve">  </w:t>
            </w:r>
            <w:r>
              <w:rPr>
                <w:rFonts w:eastAsia="黑体"/>
                <w:bCs/>
                <w:sz w:val="28"/>
              </w:rPr>
              <w:t>产业链知识产权安全监测工程</w:t>
            </w:r>
          </w:p>
          <w:p>
            <w:pPr>
              <w:spacing w:line="380" w:lineRule="exact"/>
              <w:ind w:firstLine="480" w:firstLineChars="200"/>
              <w:rPr>
                <w:sz w:val="24"/>
              </w:rPr>
            </w:pPr>
            <w:r>
              <w:rPr>
                <w:sz w:val="24"/>
              </w:rPr>
              <w:t>以知识产权为核心，以十大标志性产业链为重点，加快构建自主可控、安全高效的产业链和多元化、数字化的供应链知识产权安全保障体系。</w:t>
            </w:r>
          </w:p>
          <w:p>
            <w:pPr>
              <w:spacing w:line="380" w:lineRule="exact"/>
              <w:ind w:firstLine="480" w:firstLineChars="200"/>
              <w:rPr>
                <w:sz w:val="24"/>
              </w:rPr>
            </w:pPr>
            <w:r>
              <w:rPr>
                <w:sz w:val="24"/>
              </w:rPr>
              <w:t>1.</w:t>
            </w:r>
            <w:r>
              <w:rPr>
                <w:rFonts w:hint="eastAsia"/>
                <w:sz w:val="24"/>
              </w:rPr>
              <w:t xml:space="preserve"> </w:t>
            </w:r>
            <w:r>
              <w:rPr>
                <w:rFonts w:eastAsia="楷体_GB2312"/>
                <w:sz w:val="24"/>
              </w:rPr>
              <w:t>优化稳定数字安防产业链。</w:t>
            </w:r>
            <w:r>
              <w:rPr>
                <w:sz w:val="24"/>
              </w:rPr>
              <w:t>开展芯片、关键核心元器件、智能算法等关键环节知识产权攻关，加快人工智能、虚拟现实、超高清视频、云计算和大数据等技术融合创新的知识产权布局与储备，鼓励企业积极参与数字安防国际标准的制修订。</w:t>
            </w:r>
          </w:p>
          <w:p>
            <w:pPr>
              <w:spacing w:line="380" w:lineRule="exact"/>
              <w:ind w:firstLine="480" w:firstLineChars="200"/>
              <w:rPr>
                <w:sz w:val="24"/>
              </w:rPr>
            </w:pPr>
            <w:r>
              <w:rPr>
                <w:sz w:val="24"/>
              </w:rPr>
              <w:t>2.</w:t>
            </w:r>
            <w:r>
              <w:rPr>
                <w:rFonts w:hint="eastAsia"/>
                <w:sz w:val="24"/>
              </w:rPr>
              <w:t xml:space="preserve"> </w:t>
            </w:r>
            <w:r>
              <w:rPr>
                <w:rFonts w:eastAsia="楷体_GB2312"/>
                <w:sz w:val="24"/>
              </w:rPr>
              <w:t>加快集成电路产业链发展。</w:t>
            </w:r>
            <w:r>
              <w:rPr>
                <w:sz w:val="24"/>
              </w:rPr>
              <w:t>开展第三代半导体芯片、专用设计软件、专用设备与材料、关键射频器件、高端光器件等关键领域知识产权攻关，加快毫米波芯片、太赫兹芯片、云端一体芯片的知识产权布局储备，有效化解产业链风险。</w:t>
            </w:r>
          </w:p>
          <w:p>
            <w:pPr>
              <w:spacing w:line="380" w:lineRule="exact"/>
              <w:ind w:firstLine="480" w:firstLineChars="200"/>
              <w:rPr>
                <w:sz w:val="24"/>
              </w:rPr>
            </w:pPr>
            <w:r>
              <w:rPr>
                <w:sz w:val="24"/>
              </w:rPr>
              <w:t>3.</w:t>
            </w:r>
            <w:r>
              <w:rPr>
                <w:rFonts w:hint="eastAsia"/>
                <w:sz w:val="24"/>
              </w:rPr>
              <w:t xml:space="preserve"> </w:t>
            </w:r>
            <w:r>
              <w:rPr>
                <w:rFonts w:eastAsia="楷体_GB2312"/>
                <w:sz w:val="24"/>
              </w:rPr>
              <w:t>提升网络通信产业链国际话语权。</w:t>
            </w:r>
            <w:r>
              <w:rPr>
                <w:sz w:val="24"/>
              </w:rPr>
              <w:t>争取国家物联网知识产权运营中心落户，加强网络通信核心芯片及关键器件、基础软件研究，加快知识产权创造收储和标准研究制定工作。强化全球精准合作，构建网络通信产业专利池，打造产业链下游企业共同体。完善新一代信息技术知识产权快速确权、快速维权通道，全省通过专利预审、专利优先审查的网络通信产业专利不少于3000件。</w:t>
            </w:r>
          </w:p>
          <w:p>
            <w:pPr>
              <w:spacing w:line="380" w:lineRule="exact"/>
              <w:ind w:firstLine="480" w:firstLineChars="200"/>
              <w:rPr>
                <w:sz w:val="24"/>
              </w:rPr>
            </w:pPr>
            <w:r>
              <w:rPr>
                <w:sz w:val="24"/>
              </w:rPr>
              <w:t>4.</w:t>
            </w:r>
            <w:r>
              <w:rPr>
                <w:rFonts w:hint="eastAsia"/>
                <w:sz w:val="24"/>
              </w:rPr>
              <w:t xml:space="preserve"> </w:t>
            </w:r>
            <w:r>
              <w:rPr>
                <w:rFonts w:eastAsia="楷体_GB2312"/>
                <w:sz w:val="24"/>
              </w:rPr>
              <w:t>强化智能计算产业链安全。</w:t>
            </w:r>
            <w:r>
              <w:rPr>
                <w:sz w:val="24"/>
              </w:rPr>
              <w:t>加强芯片、存储设备、服务器等关键产品知识产布局和储备，加强高性能智能计算架构体系、智能算力等领域知识产权收储，补齐操作系统短板。</w:t>
            </w:r>
          </w:p>
          <w:p>
            <w:pPr>
              <w:spacing w:line="380" w:lineRule="exact"/>
              <w:ind w:firstLine="480" w:firstLineChars="200"/>
              <w:rPr>
                <w:sz w:val="24"/>
              </w:rPr>
            </w:pPr>
            <w:r>
              <w:rPr>
                <w:sz w:val="24"/>
              </w:rPr>
              <w:t>5.</w:t>
            </w:r>
            <w:r>
              <w:rPr>
                <w:rFonts w:hint="eastAsia"/>
                <w:sz w:val="24"/>
              </w:rPr>
              <w:t xml:space="preserve"> </w:t>
            </w:r>
            <w:r>
              <w:rPr>
                <w:rFonts w:eastAsia="楷体_GB2312"/>
                <w:sz w:val="24"/>
              </w:rPr>
              <w:t>全面提升生物医药产业——化学药产业链稳定性、安全性和竞争力。</w:t>
            </w:r>
            <w:r>
              <w:rPr>
                <w:sz w:val="24"/>
              </w:rPr>
              <w:t>加大关键环节制药设备、高精密药物分析仪器及高端原料、特殊辅料知识产权攻关和储备，面向杭州生物产业国家高新技术产业基地、台州医药产业集聚区等化学药产业集群实施一批专利导航和预警分析项目，强化产业链知识产权全球布局。</w:t>
            </w:r>
          </w:p>
          <w:p>
            <w:pPr>
              <w:spacing w:line="380" w:lineRule="exact"/>
              <w:ind w:firstLine="480" w:firstLineChars="200"/>
              <w:rPr>
                <w:sz w:val="24"/>
              </w:rPr>
            </w:pPr>
            <w:r>
              <w:rPr>
                <w:sz w:val="24"/>
              </w:rPr>
              <w:t>6.</w:t>
            </w:r>
            <w:r>
              <w:rPr>
                <w:rFonts w:hint="eastAsia"/>
                <w:sz w:val="24"/>
              </w:rPr>
              <w:t xml:space="preserve"> </w:t>
            </w:r>
            <w:r>
              <w:rPr>
                <w:rFonts w:eastAsia="楷体_GB2312"/>
                <w:sz w:val="24"/>
              </w:rPr>
              <w:t>增强炼化一体化与新材料产业——乙烯产业链创新自主能力。</w:t>
            </w:r>
            <w:r>
              <w:rPr>
                <w:sz w:val="24"/>
              </w:rPr>
              <w:t>推动校企、院企、介企协作，加强乙烯产业链高端产品、催化剂生产技术和关键生产设备、自动化控制系统知识产权攻关。支持巨化集团、中化蓝天、宁波材料所等创新龙头大力实施知识产权战略，大力推进高选择比磷酸、铜蚀刻液、蚀刻后清洗液等专利技术产业化。</w:t>
            </w:r>
          </w:p>
          <w:p>
            <w:pPr>
              <w:spacing w:line="380" w:lineRule="exact"/>
              <w:ind w:firstLine="480" w:firstLineChars="200"/>
              <w:rPr>
                <w:sz w:val="24"/>
              </w:rPr>
            </w:pPr>
            <w:r>
              <w:rPr>
                <w:sz w:val="24"/>
              </w:rPr>
              <w:t>7.</w:t>
            </w:r>
            <w:r>
              <w:rPr>
                <w:rFonts w:hint="eastAsia"/>
                <w:sz w:val="24"/>
              </w:rPr>
              <w:t xml:space="preserve"> </w:t>
            </w:r>
            <w:r>
              <w:rPr>
                <w:rFonts w:eastAsia="楷体_GB2312"/>
                <w:sz w:val="24"/>
              </w:rPr>
              <w:t>提升节能与新能源汽车产业链水平。</w:t>
            </w:r>
            <w:r>
              <w:rPr>
                <w:sz w:val="24"/>
              </w:rPr>
              <w:t>加大动力电池、电驱、电控关键技术知识产权攻关与储备，加强动力电池与电池管理系统、电机驱动与电力电子总成、电动汽车智能化技术、燃料电池动力系统、插电/增程式混合动力系统和纯电动力系统知识产权布局，加快加快智能网联汽车技术产业化。</w:t>
            </w:r>
          </w:p>
          <w:p>
            <w:pPr>
              <w:spacing w:line="380" w:lineRule="exact"/>
              <w:ind w:firstLine="480" w:firstLineChars="200"/>
              <w:rPr>
                <w:sz w:val="24"/>
              </w:rPr>
            </w:pPr>
            <w:r>
              <w:rPr>
                <w:sz w:val="24"/>
              </w:rPr>
              <w:t>8.</w:t>
            </w:r>
            <w:r>
              <w:rPr>
                <w:rFonts w:hint="eastAsia"/>
                <w:sz w:val="24"/>
              </w:rPr>
              <w:t xml:space="preserve"> </w:t>
            </w:r>
            <w:r>
              <w:rPr>
                <w:rFonts w:eastAsia="楷体_GB2312"/>
                <w:sz w:val="24"/>
              </w:rPr>
              <w:t>推进智能装备产业链知识产权自主可控。</w:t>
            </w:r>
            <w:r>
              <w:rPr>
                <w:sz w:val="24"/>
              </w:rPr>
              <w:t>强化数控机床产业高速、高精运动控制技术，动态、热态综合补偿技术，多轴联动和复合加工技术，智能化控制技术，高精度直驱技术知识产权攻关，加强高档模具、配套软件知识产权注册申请，实现设计、研发、制造、服务全链条一体化知识产权布局全覆盖。建设机器人产业专利专题数据库，加大编码器、高性能轴承、IGBT 模块等关键领域知识产权攻关，强化高性能工业机器人控制器、减速器、伺服电机知识产权布局和运用。</w:t>
            </w:r>
          </w:p>
          <w:p>
            <w:pPr>
              <w:spacing w:line="380" w:lineRule="exact"/>
              <w:ind w:firstLine="480" w:firstLineChars="200"/>
              <w:rPr>
                <w:sz w:val="24"/>
              </w:rPr>
            </w:pPr>
            <w:r>
              <w:rPr>
                <w:sz w:val="24"/>
              </w:rPr>
              <w:t>9.</w:t>
            </w:r>
            <w:r>
              <w:rPr>
                <w:rFonts w:hint="eastAsia"/>
                <w:sz w:val="24"/>
              </w:rPr>
              <w:t xml:space="preserve"> </w:t>
            </w:r>
            <w:r>
              <w:rPr>
                <w:rFonts w:eastAsia="楷体_GB2312"/>
                <w:sz w:val="24"/>
              </w:rPr>
              <w:t>提升智能家居产业链知识产权竞争水平。</w:t>
            </w:r>
            <w:r>
              <w:rPr>
                <w:sz w:val="24"/>
              </w:rPr>
              <w:t>加强高端专用芯片、钽电容和石墨轴承等关键领域知识产权攻关和国际布局，推进智能门锁、智能家电、智能照明、智能厨卫等领域关键技术产品创新。</w:t>
            </w:r>
          </w:p>
          <w:p>
            <w:pPr>
              <w:spacing w:line="380" w:lineRule="exact"/>
              <w:ind w:firstLine="480" w:firstLineChars="200"/>
              <w:rPr>
                <w:sz w:val="24"/>
              </w:rPr>
            </w:pPr>
            <w:r>
              <w:rPr>
                <w:sz w:val="24"/>
              </w:rPr>
              <w:t>10.</w:t>
            </w:r>
            <w:r>
              <w:rPr>
                <w:rFonts w:hint="eastAsia"/>
                <w:sz w:val="24"/>
              </w:rPr>
              <w:t xml:space="preserve"> </w:t>
            </w:r>
            <w:r>
              <w:rPr>
                <w:rFonts w:eastAsia="楷体_GB2312"/>
                <w:sz w:val="24"/>
              </w:rPr>
              <w:t>增强现代纺织产业链知识产权国际竞争力。</w:t>
            </w:r>
            <w:r>
              <w:rPr>
                <w:sz w:val="24"/>
              </w:rPr>
              <w:t>优化产业链知识产权收储整合，加强化纤装备、纺织装备、纺丝油剂、印染助剂等关键领域知识产权攻关，构建现代纺织花样设计知识产权快速确权通道，推进纺织印染智能化、化学纤维差异化功能化、纺织面料高端化绿色化、服饰家纺品牌化时尚化发展。</w:t>
            </w:r>
          </w:p>
        </w:tc>
      </w:tr>
    </w:tbl>
    <w:p>
      <w:pPr>
        <w:spacing w:line="590" w:lineRule="exact"/>
        <w:ind w:firstLine="640" w:firstLineChars="200"/>
        <w:outlineLvl w:val="0"/>
        <w:rPr>
          <w:rFonts w:hint="eastAsia" w:eastAsia="黑体"/>
          <w:bCs/>
          <w:kern w:val="44"/>
          <w:szCs w:val="32"/>
        </w:rPr>
      </w:pPr>
      <w:bookmarkStart w:id="28" w:name="_Toc56782725"/>
    </w:p>
    <w:p>
      <w:pPr>
        <w:spacing w:line="590" w:lineRule="exact"/>
        <w:ind w:firstLine="640" w:firstLineChars="200"/>
        <w:outlineLvl w:val="0"/>
        <w:rPr>
          <w:rFonts w:eastAsia="黑体"/>
          <w:bCs/>
          <w:kern w:val="44"/>
          <w:szCs w:val="32"/>
        </w:rPr>
      </w:pPr>
      <w:r>
        <w:rPr>
          <w:rFonts w:eastAsia="黑体"/>
          <w:bCs/>
          <w:kern w:val="44"/>
          <w:szCs w:val="32"/>
        </w:rPr>
        <w:t>六、聚焦夯实基底，建设“一库三体系”，打造知识产权“新基建”</w:t>
      </w:r>
      <w:bookmarkEnd w:id="28"/>
    </w:p>
    <w:p>
      <w:pPr>
        <w:spacing w:line="590" w:lineRule="exact"/>
        <w:ind w:firstLine="640" w:firstLineChars="200"/>
        <w:outlineLvl w:val="1"/>
        <w:rPr>
          <w:rFonts w:eastAsia="楷体_GB2312"/>
          <w:szCs w:val="32"/>
        </w:rPr>
      </w:pPr>
      <w:bookmarkStart w:id="29" w:name="_Toc56782726"/>
      <w:r>
        <w:rPr>
          <w:rFonts w:eastAsia="楷体_GB2312"/>
          <w:szCs w:val="32"/>
        </w:rPr>
        <w:t>（一）建设知识产权大数据库</w:t>
      </w:r>
      <w:bookmarkEnd w:id="29"/>
    </w:p>
    <w:p>
      <w:pPr>
        <w:spacing w:line="590" w:lineRule="exact"/>
        <w:ind w:firstLine="640" w:firstLineChars="200"/>
        <w:rPr>
          <w:szCs w:val="32"/>
        </w:rPr>
      </w:pPr>
      <w:r>
        <w:rPr>
          <w:szCs w:val="32"/>
        </w:rPr>
        <w:t>关联各类知识产权、人才、市场主体、产业数据，建设知识产权大数据库，精确分析定位区域产业优势，科学布局公共服务平台、高价值知识产权培育运用平台，匹配知识产权资源。建设专利信息传播利用（浙江）基地，完善重点产业专利导航和知识产权信息利用分析机制，建设数字经济、生命健康、新材料等重点产业知识产权专题数据库。应用信息化手段采集信息，对各类知识产权资源、资产进行分级分类管理，搭建知识产权数字驾驶舱，打造知识产权综合智慧大脑。建设知识产权大数据联盟，引导高校院所、龙头企业、服务机构共同参与建设，共享信息成果。</w:t>
      </w:r>
    </w:p>
    <w:tbl>
      <w:tblPr>
        <w:tblStyle w:val="7"/>
        <w:tblW w:w="8845"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57" w:type="dxa"/>
          <w:bottom w:w="57" w:type="dxa"/>
          <w:right w:w="57" w:type="dxa"/>
        </w:tblCellMar>
      </w:tblPr>
      <w:tblGrid>
        <w:gridCol w:w="88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PrEx>
        <w:trPr>
          <w:trHeight w:val="20" w:hRule="atLeast"/>
          <w:jc w:val="center"/>
        </w:trPr>
        <w:tc>
          <w:tcPr>
            <w:tcW w:w="8845" w:type="dxa"/>
            <w:vAlign w:val="top"/>
          </w:tcPr>
          <w:p>
            <w:pPr>
              <w:spacing w:before="240" w:beforeLines="100" w:after="240" w:afterLines="100" w:line="360" w:lineRule="exact"/>
              <w:jc w:val="center"/>
              <w:rPr>
                <w:rFonts w:eastAsia="黑体"/>
                <w:sz w:val="28"/>
              </w:rPr>
            </w:pPr>
            <w:r>
              <w:rPr>
                <w:rFonts w:eastAsia="黑体"/>
                <w:bCs/>
                <w:sz w:val="28"/>
              </w:rPr>
              <w:t>专栏10</w:t>
            </w:r>
            <w:r>
              <w:rPr>
                <w:rFonts w:hint="eastAsia" w:eastAsia="黑体"/>
                <w:bCs/>
                <w:sz w:val="28"/>
              </w:rPr>
              <w:t xml:space="preserve">  </w:t>
            </w:r>
            <w:r>
              <w:rPr>
                <w:rFonts w:eastAsia="黑体"/>
                <w:bCs/>
                <w:sz w:val="28"/>
              </w:rPr>
              <w:t>知识产权数字驾驶舱建设工程</w:t>
            </w:r>
          </w:p>
          <w:p>
            <w:pPr>
              <w:spacing w:line="340" w:lineRule="exact"/>
              <w:ind w:firstLine="480" w:firstLineChars="200"/>
              <w:rPr>
                <w:sz w:val="24"/>
              </w:rPr>
            </w:pPr>
            <w:r>
              <w:rPr>
                <w:sz w:val="24"/>
              </w:rPr>
              <w:t>加强知识产权信息开发利用，加快建立以产业数据、知识产权数据为基础的新兴产业知识产权赋能机制，全面提</w:t>
            </w:r>
            <w:r>
              <w:rPr>
                <w:rFonts w:hint="eastAsia"/>
                <w:sz w:val="24"/>
              </w:rPr>
              <w:t>升</w:t>
            </w:r>
            <w:r>
              <w:rPr>
                <w:sz w:val="24"/>
              </w:rPr>
              <w:t>知识产权数字监管水平。</w:t>
            </w:r>
          </w:p>
          <w:p>
            <w:pPr>
              <w:spacing w:line="340" w:lineRule="exact"/>
              <w:ind w:firstLine="480" w:firstLineChars="200"/>
              <w:rPr>
                <w:sz w:val="24"/>
              </w:rPr>
            </w:pPr>
            <w:r>
              <w:rPr>
                <w:sz w:val="24"/>
              </w:rPr>
              <w:t>1.</w:t>
            </w:r>
            <w:r>
              <w:rPr>
                <w:rFonts w:hint="eastAsia"/>
                <w:sz w:val="24"/>
              </w:rPr>
              <w:t xml:space="preserve"> </w:t>
            </w:r>
            <w:r>
              <w:rPr>
                <w:sz w:val="24"/>
              </w:rPr>
              <w:t xml:space="preserve">大力推进跨部门、跨层级、跨领域知识产权信息互联互通，加快构建多源数据采集体系，鼓励企业、行业协会、社会组织等开放自有知识产权数据资源，强化知识产权信息归集、共享和使用，联通地方、行业知识产权信用应用平台，完善知识产权联合奖惩体系。 </w:t>
            </w:r>
          </w:p>
          <w:p>
            <w:pPr>
              <w:spacing w:line="340" w:lineRule="exact"/>
              <w:ind w:firstLine="480" w:firstLineChars="200"/>
              <w:rPr>
                <w:sz w:val="24"/>
              </w:rPr>
            </w:pPr>
            <w:r>
              <w:rPr>
                <w:sz w:val="24"/>
              </w:rPr>
              <w:t>2.</w:t>
            </w:r>
            <w:r>
              <w:rPr>
                <w:rFonts w:hint="eastAsia"/>
                <w:sz w:val="24"/>
              </w:rPr>
              <w:t xml:space="preserve"> </w:t>
            </w:r>
            <w:r>
              <w:rPr>
                <w:sz w:val="24"/>
              </w:rPr>
              <w:t>深入推进国家以信用为基础的分级分类监管试点工作，研究制定知识产权领域信用分级分类监管制度。迭代完善知识产权信用评价体系，探索开发知识产权区域、行业、企业信用指数、信用预警等产品。</w:t>
            </w:r>
          </w:p>
          <w:p>
            <w:pPr>
              <w:spacing w:line="340" w:lineRule="exact"/>
              <w:ind w:firstLine="480" w:firstLineChars="200"/>
              <w:rPr>
                <w:sz w:val="24"/>
              </w:rPr>
            </w:pPr>
            <w:r>
              <w:rPr>
                <w:sz w:val="24"/>
              </w:rPr>
              <w:t>3.</w:t>
            </w:r>
            <w:r>
              <w:rPr>
                <w:rFonts w:hint="eastAsia"/>
                <w:sz w:val="24"/>
              </w:rPr>
              <w:t xml:space="preserve"> </w:t>
            </w:r>
            <w:r>
              <w:rPr>
                <w:sz w:val="24"/>
              </w:rPr>
              <w:t>加大知识产权数据资源开发利用，围绕知识产权行政管理、重点产业专利导航、重点领域知识产权预警分析、知识产权海外保护等重点领域，推动知识产权数据融合利用，拓展知识产权数据场景化多业务协同应用。加强知识产权数据公共服务政府采购力度，提升数据公益服务和监测分析利用水平。到2025年，开放不少于100个产业、领域专利专题数据库，建有个性化专题知识产权数据库的企业达到5000家以上，知识产权创造、运用、保护、管理、服务数据全面集成打通。</w:t>
            </w:r>
          </w:p>
        </w:tc>
      </w:tr>
    </w:tbl>
    <w:p>
      <w:pPr>
        <w:spacing w:line="590" w:lineRule="exact"/>
        <w:ind w:firstLine="640" w:firstLineChars="200"/>
        <w:outlineLvl w:val="1"/>
        <w:rPr>
          <w:rFonts w:eastAsia="楷体_GB2312"/>
          <w:szCs w:val="32"/>
        </w:rPr>
      </w:pPr>
      <w:bookmarkStart w:id="30" w:name="_Toc56782729"/>
      <w:r>
        <w:rPr>
          <w:rFonts w:eastAsia="楷体_GB2312"/>
          <w:szCs w:val="32"/>
        </w:rPr>
        <w:t>（二）健全知识产权人才体系</w:t>
      </w:r>
    </w:p>
    <w:p>
      <w:pPr>
        <w:spacing w:line="590" w:lineRule="exact"/>
        <w:ind w:firstLine="640" w:firstLineChars="200"/>
        <w:rPr>
          <w:szCs w:val="32"/>
        </w:rPr>
      </w:pPr>
      <w:r>
        <w:rPr>
          <w:szCs w:val="32"/>
        </w:rPr>
        <w:t>制定知识产权职称等级认定、职业行为规范等相关政策，完善知识产权人才评价、流动、激励机制，构建知识产权人才引进、培养和认定工作体系。推动将知识产权专业人才纳入高层次人才体系，培养一批高素质专利代理师、高级知识产权师、正高级知识产权师，加快知识产权管理、服务、研究、咨询等各类人才集聚。支持高校加强知识产权相关学科专业建设，鼓励产教融合、校企协同，培养复合性、应用型知识产权人才。加快建设我省知识产权人才（专家）库，加强与国家级知识产权人才库、长三角地区知识产权人才库的衔接。加强知识产权培训基地建设，完善知识产权培训体系，重点强化对党政领导干部、公检法司和行政执法人员、民营企业家、科技从业人员、海外高层次人才的知识产权培训力度。加强高层次人才引进，支持引进或聘用海外知识产权高层次人才。</w:t>
      </w:r>
    </w:p>
    <w:p>
      <w:pPr>
        <w:spacing w:line="590" w:lineRule="exact"/>
        <w:ind w:firstLine="640" w:firstLineChars="200"/>
        <w:outlineLvl w:val="1"/>
        <w:rPr>
          <w:rFonts w:eastAsia="楷体_GB2312"/>
          <w:szCs w:val="32"/>
        </w:rPr>
      </w:pPr>
      <w:r>
        <w:rPr>
          <w:rFonts w:eastAsia="楷体_GB2312"/>
          <w:szCs w:val="32"/>
        </w:rPr>
        <w:t>（三）完善知识产权信用体系</w:t>
      </w:r>
    </w:p>
    <w:p>
      <w:pPr>
        <w:spacing w:line="590" w:lineRule="exact"/>
        <w:ind w:firstLine="640" w:firstLineChars="200"/>
        <w:rPr>
          <w:szCs w:val="32"/>
        </w:rPr>
      </w:pPr>
      <w:r>
        <w:rPr>
          <w:szCs w:val="32"/>
        </w:rPr>
        <w:t>建立健全以知识产权信用为基础的分级分类监管机制，推进形成贯通创造、保护、运用、服务、管理全链条的知识产权信用体系。推广实施知识产权服务行业以及电子商务等专业领域的信用评价，实施社会化信用奖惩机制。构建知识产权领域企业信用风险监测预警通用模型，实现对知识产权重点领域、重点主体、重点环节主要风险点的精准监测和精准监管。加强信用监管与“双随机、一公开”监管、行政执法的有机结合，全面实施差异化分级分类监管。建立健全地方信用体系建设工作推进机制，强化部门和地市协同推进。</w:t>
      </w:r>
    </w:p>
    <w:p>
      <w:pPr>
        <w:spacing w:line="590" w:lineRule="exact"/>
        <w:ind w:firstLine="640" w:firstLineChars="200"/>
        <w:outlineLvl w:val="1"/>
        <w:rPr>
          <w:szCs w:val="32"/>
        </w:rPr>
      </w:pPr>
      <w:r>
        <w:rPr>
          <w:rFonts w:eastAsia="楷体_GB2312"/>
          <w:szCs w:val="32"/>
        </w:rPr>
        <w:t>（四）打造知识产权标准化体系</w:t>
      </w:r>
      <w:bookmarkEnd w:id="30"/>
    </w:p>
    <w:p>
      <w:pPr>
        <w:spacing w:line="590" w:lineRule="exact"/>
        <w:ind w:firstLine="640" w:firstLineChars="200"/>
        <w:rPr>
          <w:szCs w:val="32"/>
        </w:rPr>
      </w:pPr>
      <w:r>
        <w:rPr>
          <w:szCs w:val="32"/>
        </w:rPr>
        <w:t>探索知识产权与技术标准有效融合的路径，支持企业将优势技术转化为国际、国家、行业、团体标准，形成一批含有必要专利的标准，探索技术专利化、专利标准化、标准产业化、产业品牌化的有效发展路径。充分发挥浙江省知识产权标准化技术委员会的作用，强化标准与法律法规的衔接，重点在知识产权公共服务、价值评估、规范化市场、商业秘密保护、地理标志保护与管理等关键环节和重点领域制订实施一批团体标准或地方标准。</w:t>
      </w:r>
    </w:p>
    <w:p>
      <w:pPr>
        <w:spacing w:line="590" w:lineRule="exact"/>
        <w:ind w:firstLine="640" w:firstLineChars="200"/>
        <w:outlineLvl w:val="0"/>
        <w:rPr>
          <w:rFonts w:eastAsia="黑体"/>
          <w:bCs/>
          <w:kern w:val="44"/>
          <w:szCs w:val="32"/>
        </w:rPr>
      </w:pPr>
      <w:bookmarkStart w:id="31" w:name="_Toc56782730"/>
      <w:r>
        <w:rPr>
          <w:rFonts w:eastAsia="黑体"/>
          <w:bCs/>
          <w:kern w:val="44"/>
          <w:szCs w:val="32"/>
        </w:rPr>
        <w:t>七、保障措施</w:t>
      </w:r>
      <w:bookmarkEnd w:id="31"/>
    </w:p>
    <w:p>
      <w:pPr>
        <w:spacing w:line="590" w:lineRule="exact"/>
        <w:ind w:firstLine="640" w:firstLineChars="200"/>
        <w:outlineLvl w:val="1"/>
        <w:rPr>
          <w:szCs w:val="32"/>
        </w:rPr>
      </w:pPr>
      <w:bookmarkStart w:id="32" w:name="_Toc56782731"/>
      <w:r>
        <w:rPr>
          <w:rFonts w:eastAsia="楷体_GB2312"/>
          <w:szCs w:val="32"/>
        </w:rPr>
        <w:t>（一）强化组织领导</w:t>
      </w:r>
      <w:bookmarkEnd w:id="32"/>
    </w:p>
    <w:p>
      <w:pPr>
        <w:spacing w:line="590" w:lineRule="exact"/>
        <w:ind w:firstLine="640" w:firstLineChars="200"/>
        <w:rPr>
          <w:szCs w:val="32"/>
          <w:shd w:val="clear" w:color="auto" w:fill="FFFFFF"/>
        </w:rPr>
      </w:pPr>
      <w:r>
        <w:rPr>
          <w:szCs w:val="32"/>
          <w:shd w:val="clear" w:color="auto" w:fill="FFFFFF"/>
        </w:rPr>
        <w:t>各地各部门要强化组织领导，坚持以市场为导向，全面深化改革、创新举措、破解难题，重点突出高价值知识产权创造、知识产权高效益运用、公共服务效能提升、侵权假冒打击，将知识产权保护作为完善市场经济体制、营造最优营商环境的基础性、关键性工作，纳入区域高质量发展全过程。</w:t>
      </w:r>
    </w:p>
    <w:p>
      <w:pPr>
        <w:spacing w:line="590" w:lineRule="exact"/>
        <w:ind w:firstLine="640" w:firstLineChars="200"/>
        <w:outlineLvl w:val="1"/>
        <w:rPr>
          <w:rFonts w:eastAsia="楷体_GB2312"/>
          <w:szCs w:val="32"/>
        </w:rPr>
      </w:pPr>
      <w:bookmarkStart w:id="33" w:name="_Toc56782732"/>
      <w:r>
        <w:rPr>
          <w:rFonts w:eastAsia="楷体_GB2312"/>
          <w:szCs w:val="32"/>
        </w:rPr>
        <w:t>（二）强化条件保障</w:t>
      </w:r>
      <w:bookmarkEnd w:id="33"/>
    </w:p>
    <w:p>
      <w:pPr>
        <w:spacing w:line="590" w:lineRule="exact"/>
        <w:ind w:firstLine="640" w:firstLineChars="200"/>
        <w:rPr>
          <w:szCs w:val="32"/>
          <w:shd w:val="clear" w:color="auto" w:fill="FFFFFF"/>
        </w:rPr>
      </w:pPr>
      <w:r>
        <w:rPr>
          <w:szCs w:val="32"/>
          <w:shd w:val="clear" w:color="auto" w:fill="FFFFFF"/>
        </w:rPr>
        <w:t>各地要加大财政支持力度，将必需的工作经费列入相关部门预算，由同级财政予以保障。提高财政资金使用绩效，引导知识产权高质量发展。强化知识产权、科技、经信、商务、金融等部门间的政策配套协调，引导市场主体加大知识产权资金投入，逐步建立以政府投入为引导、银行信贷为支持、企业投入为主体的多渠道、多元化的资金投入体系。加强知识产权公共服务平台建设，加大政府购买知识产权公共服务力度。按照国家有关规定，做好对知识产权突出贡献集体和个人的激励工作。加强知识产权规划与产业规划、城市规划的对接、融合。</w:t>
      </w:r>
    </w:p>
    <w:p>
      <w:pPr>
        <w:spacing w:line="590" w:lineRule="exact"/>
        <w:ind w:firstLine="640" w:firstLineChars="200"/>
        <w:outlineLvl w:val="1"/>
        <w:rPr>
          <w:rFonts w:eastAsia="楷体_GB2312"/>
          <w:szCs w:val="32"/>
        </w:rPr>
      </w:pPr>
      <w:bookmarkStart w:id="34" w:name="_Toc56782733"/>
      <w:r>
        <w:rPr>
          <w:rFonts w:eastAsia="楷体_GB2312"/>
          <w:szCs w:val="32"/>
        </w:rPr>
        <w:t>（三）强化普及教育</w:t>
      </w:r>
      <w:bookmarkEnd w:id="34"/>
    </w:p>
    <w:p>
      <w:pPr>
        <w:spacing w:line="590" w:lineRule="exact"/>
        <w:ind w:firstLine="640" w:firstLineChars="200"/>
        <w:rPr>
          <w:szCs w:val="32"/>
          <w:shd w:val="clear" w:color="auto" w:fill="FFFFFF"/>
        </w:rPr>
      </w:pPr>
      <w:r>
        <w:rPr>
          <w:szCs w:val="32"/>
          <w:shd w:val="clear" w:color="auto" w:fill="FFFFFF"/>
        </w:rPr>
        <w:t>各地要大力倡导知识产权文化，组织开展“4.26”知识产权宣传周、专利周、品牌日等活动，发布浙江省知识产权保护与发展报告、商标品牌发展报告、知识产权典型案例，讲好浙江知识产权故事。广泛开展知识产权普及教育，持续推进中小学知识产权教育工作，将知识产权相关内容融入地方德育教材。</w:t>
      </w:r>
    </w:p>
    <w:p>
      <w:pPr>
        <w:spacing w:line="590" w:lineRule="exact"/>
        <w:ind w:firstLine="640" w:firstLineChars="200"/>
        <w:outlineLvl w:val="1"/>
        <w:rPr>
          <w:rFonts w:eastAsia="楷体_GB2312"/>
          <w:szCs w:val="32"/>
        </w:rPr>
      </w:pPr>
      <w:bookmarkStart w:id="35" w:name="_Toc56782734"/>
      <w:r>
        <w:rPr>
          <w:rFonts w:eastAsia="楷体_GB2312"/>
          <w:szCs w:val="32"/>
        </w:rPr>
        <w:t>（四）强化考核评估</w:t>
      </w:r>
      <w:bookmarkEnd w:id="35"/>
    </w:p>
    <w:p>
      <w:pPr>
        <w:tabs>
          <w:tab w:val="left" w:pos="360"/>
        </w:tabs>
        <w:spacing w:line="590" w:lineRule="exact"/>
        <w:ind w:firstLine="640" w:firstLineChars="200"/>
        <w:rPr>
          <w:szCs w:val="32"/>
          <w:shd w:val="clear" w:color="auto" w:fill="FFFFFF"/>
        </w:rPr>
      </w:pPr>
      <w:r>
        <w:rPr>
          <w:szCs w:val="32"/>
          <w:shd w:val="clear" w:color="auto" w:fill="FFFFFF"/>
        </w:rPr>
        <w:t>研究建立知识产权保护考核评价和保护水平评估指标体系，将结果作为考核评价地方各级党政领导班子和领导干部的重要参考。加强对纳入科技进步统计监测评价指标体系、浙江省高质量发展指标体系的各项知识产权指标的统计监测。建立科学有效的知识产权工作评价体系，制定年度各项目标任务的分解落实方案和重大项目实施办法，开展知识产权规划实施的年度监测、中期评估和总结评估。建立信息交流和沟通机制，强化对市、县（市、区）知识产权工作的监督、指导与考核，把知识产权规划实施工作真正落到实处。</w:t>
      </w:r>
    </w:p>
    <w:p>
      <w:pPr>
        <w:overflowPunct w:val="0"/>
        <w:spacing w:line="590" w:lineRule="exact"/>
        <w:ind w:firstLine="640" w:firstLineChars="200"/>
        <w:rPr>
          <w:szCs w:val="32"/>
        </w:rPr>
      </w:pPr>
    </w:p>
    <w:p>
      <w:pPr>
        <w:overflowPunct w:val="0"/>
        <w:spacing w:line="590" w:lineRule="exact"/>
        <w:ind w:firstLine="640" w:firstLineChars="200"/>
        <w:rPr>
          <w:szCs w:val="32"/>
        </w:rPr>
        <w:sectPr>
          <w:headerReference r:id="rId3" w:type="default"/>
          <w:footerReference r:id="rId4" w:type="default"/>
          <w:footerReference r:id="rId5" w:type="even"/>
          <w:footnotePr>
            <w:numFmt w:val="decimalEnclosedCircleChinese"/>
            <w:numRestart w:val="eachPage"/>
          </w:footnotePr>
          <w:pgSz w:w="11906" w:h="16838"/>
          <w:pgMar w:top="1871" w:right="1531" w:bottom="1701" w:left="1531" w:header="851" w:footer="1531" w:gutter="0"/>
          <w:cols w:space="720" w:num="1"/>
          <w:docGrid w:linePitch="312" w:charSpace="0"/>
        </w:sectPr>
      </w:pPr>
    </w:p>
    <w:p>
      <w:pPr>
        <w:spacing w:line="590" w:lineRule="exact"/>
        <w:outlineLvl w:val="1"/>
        <w:rPr>
          <w:rFonts w:hint="eastAsia" w:eastAsia="黑体"/>
          <w:szCs w:val="32"/>
          <w:shd w:val="clear" w:color="auto" w:fill="FFFFFF"/>
        </w:rPr>
      </w:pPr>
      <w:bookmarkStart w:id="36" w:name="_Toc57470149"/>
      <w:bookmarkStart w:id="37" w:name="_Toc26565"/>
      <w:bookmarkStart w:id="38" w:name="_Toc25868"/>
      <w:r>
        <w:rPr>
          <w:rFonts w:eastAsia="黑体"/>
          <w:szCs w:val="32"/>
          <w:shd w:val="clear" w:color="auto" w:fill="FFFFFF"/>
        </w:rPr>
        <w:t>附</w:t>
      </w:r>
      <w:bookmarkEnd w:id="36"/>
      <w:bookmarkEnd w:id="37"/>
      <w:bookmarkEnd w:id="38"/>
      <w:r>
        <w:rPr>
          <w:rFonts w:eastAsia="黑体"/>
          <w:szCs w:val="32"/>
          <w:shd w:val="clear" w:color="auto" w:fill="FFFFFF"/>
        </w:rPr>
        <w:t>表</w:t>
      </w:r>
    </w:p>
    <w:p>
      <w:pPr>
        <w:spacing w:line="400" w:lineRule="exact"/>
        <w:outlineLvl w:val="1"/>
        <w:rPr>
          <w:rFonts w:hint="eastAsia" w:eastAsia="黑体"/>
          <w:szCs w:val="32"/>
          <w:shd w:val="clear" w:color="auto" w:fill="FFFFFF"/>
        </w:rPr>
      </w:pPr>
    </w:p>
    <w:p>
      <w:pPr>
        <w:spacing w:line="590" w:lineRule="exact"/>
        <w:jc w:val="center"/>
        <w:outlineLvl w:val="1"/>
        <w:rPr>
          <w:rFonts w:hint="eastAsia" w:eastAsia="方正小标宋简体"/>
          <w:sz w:val="44"/>
          <w:szCs w:val="44"/>
        </w:rPr>
      </w:pPr>
      <w:r>
        <w:rPr>
          <w:rFonts w:eastAsia="方正小标宋简体"/>
          <w:sz w:val="44"/>
          <w:szCs w:val="44"/>
        </w:rPr>
        <w:t>“十四五”时期知识产权领域“四重”清单</w:t>
      </w:r>
    </w:p>
    <w:p>
      <w:pPr>
        <w:spacing w:line="400" w:lineRule="exact"/>
        <w:outlineLvl w:val="1"/>
        <w:rPr>
          <w:rFonts w:eastAsia="黑体"/>
          <w:szCs w:val="32"/>
          <w:shd w:val="clear" w:color="auto" w:fill="FFFFFF"/>
        </w:rPr>
      </w:pPr>
    </w:p>
    <w:tbl>
      <w:tblPr>
        <w:tblStyle w:val="7"/>
        <w:tblW w:w="1305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681"/>
        <w:gridCol w:w="716"/>
        <w:gridCol w:w="2668"/>
        <w:gridCol w:w="89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tblHeader/>
          <w:jc w:val="center"/>
        </w:trPr>
        <w:tc>
          <w:tcPr>
            <w:tcW w:w="681" w:type="dxa"/>
            <w:vAlign w:val="center"/>
          </w:tcPr>
          <w:p>
            <w:pPr>
              <w:snapToGrid w:val="0"/>
              <w:contextualSpacing/>
              <w:jc w:val="center"/>
              <w:rPr>
                <w:rFonts w:eastAsia="黑体"/>
                <w:bCs/>
                <w:sz w:val="24"/>
              </w:rPr>
            </w:pPr>
            <w:r>
              <w:rPr>
                <w:rFonts w:eastAsia="黑体"/>
                <w:bCs/>
                <w:sz w:val="24"/>
              </w:rPr>
              <w:t>类别</w:t>
            </w:r>
          </w:p>
        </w:tc>
        <w:tc>
          <w:tcPr>
            <w:tcW w:w="716" w:type="dxa"/>
            <w:vAlign w:val="center"/>
          </w:tcPr>
          <w:p>
            <w:pPr>
              <w:snapToGrid w:val="0"/>
              <w:contextualSpacing/>
              <w:jc w:val="center"/>
              <w:rPr>
                <w:rFonts w:eastAsia="黑体"/>
                <w:bCs/>
                <w:sz w:val="24"/>
              </w:rPr>
            </w:pPr>
            <w:r>
              <w:rPr>
                <w:rFonts w:eastAsia="黑体"/>
                <w:bCs/>
                <w:sz w:val="24"/>
              </w:rPr>
              <w:t>序号</w:t>
            </w:r>
          </w:p>
        </w:tc>
        <w:tc>
          <w:tcPr>
            <w:tcW w:w="2668" w:type="dxa"/>
            <w:vAlign w:val="center"/>
          </w:tcPr>
          <w:p>
            <w:pPr>
              <w:snapToGrid w:val="0"/>
              <w:contextualSpacing/>
              <w:jc w:val="center"/>
              <w:rPr>
                <w:rFonts w:eastAsia="黑体"/>
                <w:bCs/>
                <w:sz w:val="24"/>
              </w:rPr>
            </w:pPr>
            <w:r>
              <w:rPr>
                <w:rFonts w:eastAsia="黑体"/>
                <w:bCs/>
                <w:sz w:val="24"/>
              </w:rPr>
              <w:t>名</w:t>
            </w:r>
            <w:r>
              <w:rPr>
                <w:rFonts w:hint="eastAsia" w:eastAsia="黑体"/>
                <w:bCs/>
                <w:sz w:val="24"/>
              </w:rPr>
              <w:t xml:space="preserve">  </w:t>
            </w:r>
            <w:r>
              <w:rPr>
                <w:rFonts w:eastAsia="黑体"/>
                <w:bCs/>
                <w:sz w:val="24"/>
              </w:rPr>
              <w:t>称</w:t>
            </w:r>
          </w:p>
        </w:tc>
        <w:tc>
          <w:tcPr>
            <w:tcW w:w="8987" w:type="dxa"/>
            <w:vAlign w:val="center"/>
          </w:tcPr>
          <w:p>
            <w:pPr>
              <w:snapToGrid w:val="0"/>
              <w:contextualSpacing/>
              <w:jc w:val="center"/>
              <w:rPr>
                <w:rFonts w:eastAsia="黑体"/>
                <w:sz w:val="24"/>
              </w:rPr>
            </w:pPr>
            <w:r>
              <w:rPr>
                <w:rFonts w:eastAsia="黑体"/>
                <w:bCs/>
                <w:sz w:val="24"/>
              </w:rPr>
              <w:t>主</w:t>
            </w:r>
            <w:r>
              <w:rPr>
                <w:rFonts w:hint="eastAsia" w:eastAsia="黑体"/>
                <w:bCs/>
                <w:sz w:val="24"/>
              </w:rPr>
              <w:t xml:space="preserve">  </w:t>
            </w:r>
            <w:r>
              <w:rPr>
                <w:rFonts w:eastAsia="黑体"/>
                <w:bCs/>
                <w:sz w:val="24"/>
              </w:rPr>
              <w:t>要</w:t>
            </w:r>
            <w:r>
              <w:rPr>
                <w:rFonts w:hint="eastAsia" w:eastAsia="黑体"/>
                <w:bCs/>
                <w:sz w:val="24"/>
              </w:rPr>
              <w:t xml:space="preserve">  </w:t>
            </w:r>
            <w:r>
              <w:rPr>
                <w:rFonts w:eastAsia="黑体"/>
                <w:bCs/>
                <w:sz w:val="24"/>
              </w:rPr>
              <w:t>任</w:t>
            </w:r>
            <w:r>
              <w:rPr>
                <w:rFonts w:hint="eastAsia" w:eastAsia="黑体"/>
                <w:bCs/>
                <w:sz w:val="24"/>
              </w:rPr>
              <w:t xml:space="preserve">  </w:t>
            </w:r>
            <w:r>
              <w:rPr>
                <w:rFonts w:eastAsia="黑体"/>
                <w:bCs/>
                <w:sz w:val="24"/>
              </w:rPr>
              <w:t>务</w:t>
            </w:r>
          </w:p>
        </w:tc>
      </w:tr>
      <w:tr>
        <w:tblPrEx>
          <w:tblLayout w:type="fixed"/>
        </w:tblPrEx>
        <w:trPr>
          <w:trHeight w:val="482" w:hRule="atLeast"/>
          <w:jc w:val="center"/>
        </w:trPr>
        <w:tc>
          <w:tcPr>
            <w:tcW w:w="681" w:type="dxa"/>
            <w:vMerge w:val="restart"/>
            <w:vAlign w:val="center"/>
          </w:tcPr>
          <w:p>
            <w:pPr>
              <w:snapToGrid w:val="0"/>
              <w:contextualSpacing/>
              <w:jc w:val="center"/>
              <w:rPr>
                <w:rFonts w:eastAsia="黑体"/>
                <w:sz w:val="24"/>
              </w:rPr>
            </w:pPr>
            <w:r>
              <w:rPr>
                <w:rFonts w:eastAsia="黑体"/>
                <w:sz w:val="24"/>
              </w:rPr>
              <w:t>重大</w:t>
            </w:r>
          </w:p>
          <w:p>
            <w:pPr>
              <w:snapToGrid w:val="0"/>
              <w:contextualSpacing/>
              <w:jc w:val="center"/>
              <w:rPr>
                <w:sz w:val="24"/>
              </w:rPr>
            </w:pPr>
            <w:r>
              <w:rPr>
                <w:rFonts w:eastAsia="黑体"/>
                <w:sz w:val="24"/>
              </w:rPr>
              <w:t>改革</w:t>
            </w:r>
          </w:p>
        </w:tc>
        <w:tc>
          <w:tcPr>
            <w:tcW w:w="716" w:type="dxa"/>
            <w:vAlign w:val="center"/>
          </w:tcPr>
          <w:p>
            <w:pPr>
              <w:snapToGrid w:val="0"/>
              <w:contextualSpacing/>
              <w:jc w:val="center"/>
              <w:rPr>
                <w:sz w:val="24"/>
              </w:rPr>
            </w:pPr>
            <w:r>
              <w:rPr>
                <w:sz w:val="24"/>
              </w:rPr>
              <w:t>1</w:t>
            </w:r>
          </w:p>
        </w:tc>
        <w:tc>
          <w:tcPr>
            <w:tcW w:w="2668" w:type="dxa"/>
            <w:vAlign w:val="center"/>
          </w:tcPr>
          <w:p>
            <w:pPr>
              <w:snapToGrid w:val="0"/>
              <w:contextualSpacing/>
              <w:rPr>
                <w:sz w:val="24"/>
              </w:rPr>
            </w:pPr>
            <w:r>
              <w:rPr>
                <w:sz w:val="24"/>
              </w:rPr>
              <w:t>知识产权保护“一件事”集成改革</w:t>
            </w:r>
          </w:p>
        </w:tc>
        <w:tc>
          <w:tcPr>
            <w:tcW w:w="8987" w:type="dxa"/>
            <w:vAlign w:val="center"/>
          </w:tcPr>
          <w:p>
            <w:pPr>
              <w:snapToGrid w:val="0"/>
              <w:contextualSpacing/>
              <w:rPr>
                <w:sz w:val="24"/>
              </w:rPr>
            </w:pPr>
            <w:r>
              <w:rPr>
                <w:sz w:val="24"/>
              </w:rPr>
              <w:t>打造知识产权综合服务平台，集成专利、商标、版权等知识产权事项，贯通创造、保护、运用、管理、服务等全链条，推进知识产权“一件事”“一张网”办理，实现全流程“最多跑一次”。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681" w:type="dxa"/>
            <w:vMerge w:val="continue"/>
            <w:vAlign w:val="center"/>
          </w:tcPr>
          <w:p>
            <w:pPr>
              <w:snapToGrid w:val="0"/>
              <w:contextualSpacing/>
              <w:jc w:val="center"/>
              <w:rPr>
                <w:sz w:val="24"/>
              </w:rPr>
            </w:pPr>
          </w:p>
        </w:tc>
        <w:tc>
          <w:tcPr>
            <w:tcW w:w="716" w:type="dxa"/>
            <w:vAlign w:val="center"/>
          </w:tcPr>
          <w:p>
            <w:pPr>
              <w:snapToGrid w:val="0"/>
              <w:contextualSpacing/>
              <w:jc w:val="center"/>
              <w:rPr>
                <w:sz w:val="24"/>
              </w:rPr>
            </w:pPr>
            <w:r>
              <w:rPr>
                <w:sz w:val="24"/>
              </w:rPr>
              <w:t>2</w:t>
            </w:r>
          </w:p>
        </w:tc>
        <w:tc>
          <w:tcPr>
            <w:tcW w:w="2668" w:type="dxa"/>
            <w:vAlign w:val="center"/>
          </w:tcPr>
          <w:p>
            <w:pPr>
              <w:snapToGrid w:val="0"/>
              <w:contextualSpacing/>
              <w:rPr>
                <w:sz w:val="24"/>
              </w:rPr>
            </w:pPr>
            <w:r>
              <w:rPr>
                <w:sz w:val="24"/>
              </w:rPr>
              <w:t>知识产权信用与数字监管改革</w:t>
            </w:r>
          </w:p>
        </w:tc>
        <w:tc>
          <w:tcPr>
            <w:tcW w:w="8987" w:type="dxa"/>
            <w:vAlign w:val="center"/>
          </w:tcPr>
          <w:p>
            <w:pPr>
              <w:snapToGrid w:val="0"/>
              <w:contextualSpacing/>
              <w:rPr>
                <w:sz w:val="24"/>
              </w:rPr>
            </w:pPr>
            <w:r>
              <w:rPr>
                <w:sz w:val="24"/>
              </w:rPr>
              <w:t>加强对知识产权数据、行为、结果的全链条监管，构建跨地区、跨部门、跨领域的守信联合激励和失信联合惩戒机制，实现信用信息共享和信用评价结果互认。深入推进以信用监管为基础的分级分类监管，迭代完善信用评价体系，规范信用红黑名单制度。</w:t>
            </w:r>
          </w:p>
        </w:tc>
      </w:tr>
      <w:tr>
        <w:tblPrEx>
          <w:tblLayout w:type="fixed"/>
        </w:tblPrEx>
        <w:trPr>
          <w:trHeight w:val="482" w:hRule="atLeast"/>
          <w:jc w:val="center"/>
        </w:trPr>
        <w:tc>
          <w:tcPr>
            <w:tcW w:w="681" w:type="dxa"/>
            <w:vMerge w:val="restart"/>
            <w:vAlign w:val="center"/>
          </w:tcPr>
          <w:p>
            <w:pPr>
              <w:snapToGrid w:val="0"/>
              <w:contextualSpacing/>
              <w:jc w:val="center"/>
              <w:rPr>
                <w:rFonts w:eastAsia="黑体"/>
                <w:sz w:val="24"/>
              </w:rPr>
            </w:pPr>
            <w:r>
              <w:rPr>
                <w:rFonts w:eastAsia="黑体"/>
                <w:sz w:val="24"/>
              </w:rPr>
              <w:t>重大</w:t>
            </w:r>
          </w:p>
          <w:p>
            <w:pPr>
              <w:snapToGrid w:val="0"/>
              <w:contextualSpacing/>
              <w:jc w:val="center"/>
              <w:rPr>
                <w:sz w:val="24"/>
              </w:rPr>
            </w:pPr>
            <w:r>
              <w:rPr>
                <w:rFonts w:eastAsia="黑体"/>
                <w:sz w:val="24"/>
              </w:rPr>
              <w:t>项目</w:t>
            </w:r>
          </w:p>
        </w:tc>
        <w:tc>
          <w:tcPr>
            <w:tcW w:w="716" w:type="dxa"/>
            <w:vAlign w:val="center"/>
          </w:tcPr>
          <w:p>
            <w:pPr>
              <w:snapToGrid w:val="0"/>
              <w:contextualSpacing/>
              <w:jc w:val="center"/>
              <w:rPr>
                <w:sz w:val="24"/>
              </w:rPr>
            </w:pPr>
            <w:r>
              <w:rPr>
                <w:sz w:val="24"/>
              </w:rPr>
              <w:t>1</w:t>
            </w:r>
          </w:p>
        </w:tc>
        <w:tc>
          <w:tcPr>
            <w:tcW w:w="2668" w:type="dxa"/>
            <w:vAlign w:val="center"/>
          </w:tcPr>
          <w:p>
            <w:pPr>
              <w:snapToGrid w:val="0"/>
              <w:contextualSpacing/>
              <w:rPr>
                <w:sz w:val="24"/>
              </w:rPr>
            </w:pPr>
            <w:r>
              <w:rPr>
                <w:sz w:val="24"/>
              </w:rPr>
              <w:t>知识产权区域示范创强项目</w:t>
            </w:r>
          </w:p>
        </w:tc>
        <w:tc>
          <w:tcPr>
            <w:tcW w:w="8987" w:type="dxa"/>
            <w:vAlign w:val="center"/>
          </w:tcPr>
          <w:p>
            <w:pPr>
              <w:snapToGrid w:val="0"/>
              <w:contextualSpacing/>
              <w:rPr>
                <w:sz w:val="24"/>
              </w:rPr>
            </w:pPr>
            <w:r>
              <w:rPr>
                <w:sz w:val="24"/>
              </w:rPr>
              <w:t>通过制定区域知识产权战略实施评价指标体系，开展知识产权战略实施绩效评价和发展状况评价，促进知识产权制度与区域经济建设相融合，全面提升区域知识产权创造、运用、保护和管理水平，增强区域自主创新能力和综合竞争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1003" w:hRule="atLeast"/>
          <w:jc w:val="center"/>
        </w:trPr>
        <w:tc>
          <w:tcPr>
            <w:tcW w:w="681" w:type="dxa"/>
            <w:vMerge w:val="continue"/>
            <w:vAlign w:val="center"/>
          </w:tcPr>
          <w:p>
            <w:pPr>
              <w:snapToGrid w:val="0"/>
              <w:contextualSpacing/>
              <w:jc w:val="center"/>
              <w:rPr>
                <w:sz w:val="24"/>
              </w:rPr>
            </w:pPr>
          </w:p>
        </w:tc>
        <w:tc>
          <w:tcPr>
            <w:tcW w:w="716" w:type="dxa"/>
            <w:vAlign w:val="center"/>
          </w:tcPr>
          <w:p>
            <w:pPr>
              <w:snapToGrid w:val="0"/>
              <w:contextualSpacing/>
              <w:jc w:val="center"/>
              <w:rPr>
                <w:sz w:val="24"/>
              </w:rPr>
            </w:pPr>
            <w:r>
              <w:rPr>
                <w:sz w:val="24"/>
              </w:rPr>
              <w:t>2</w:t>
            </w:r>
          </w:p>
        </w:tc>
        <w:tc>
          <w:tcPr>
            <w:tcW w:w="2668" w:type="dxa"/>
            <w:vAlign w:val="center"/>
          </w:tcPr>
          <w:p>
            <w:pPr>
              <w:snapToGrid w:val="0"/>
              <w:contextualSpacing/>
              <w:rPr>
                <w:sz w:val="24"/>
              </w:rPr>
            </w:pPr>
            <w:r>
              <w:rPr>
                <w:sz w:val="24"/>
              </w:rPr>
              <w:t>优势产业及龙头企业知识产权布局工程</w:t>
            </w:r>
          </w:p>
        </w:tc>
        <w:tc>
          <w:tcPr>
            <w:tcW w:w="8987" w:type="dxa"/>
            <w:vAlign w:val="center"/>
          </w:tcPr>
          <w:p>
            <w:pPr>
              <w:snapToGrid w:val="0"/>
              <w:contextualSpacing/>
              <w:rPr>
                <w:sz w:val="24"/>
              </w:rPr>
            </w:pPr>
            <w:r>
              <w:rPr>
                <w:sz w:val="24"/>
              </w:rPr>
              <w:t>促进知识产权政策与产业政策深度融合，加强战略性新兴产业、区域特色优势产业等的知识产权风险评估和预警，培育一批知识产权密集型龙头企业，优化知识产权产业链布局。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1044" w:hRule="atLeast"/>
          <w:jc w:val="center"/>
        </w:trPr>
        <w:tc>
          <w:tcPr>
            <w:tcW w:w="681" w:type="dxa"/>
            <w:vMerge w:val="continue"/>
            <w:vAlign w:val="center"/>
          </w:tcPr>
          <w:p>
            <w:pPr>
              <w:snapToGrid w:val="0"/>
              <w:contextualSpacing/>
              <w:jc w:val="center"/>
              <w:rPr>
                <w:sz w:val="24"/>
              </w:rPr>
            </w:pPr>
          </w:p>
        </w:tc>
        <w:tc>
          <w:tcPr>
            <w:tcW w:w="716" w:type="dxa"/>
            <w:vAlign w:val="center"/>
          </w:tcPr>
          <w:p>
            <w:pPr>
              <w:snapToGrid w:val="0"/>
              <w:contextualSpacing/>
              <w:jc w:val="center"/>
              <w:rPr>
                <w:sz w:val="24"/>
              </w:rPr>
            </w:pPr>
            <w:r>
              <w:rPr>
                <w:sz w:val="24"/>
              </w:rPr>
              <w:t>3</w:t>
            </w:r>
          </w:p>
        </w:tc>
        <w:tc>
          <w:tcPr>
            <w:tcW w:w="2668" w:type="dxa"/>
            <w:vAlign w:val="center"/>
          </w:tcPr>
          <w:p>
            <w:pPr>
              <w:snapToGrid w:val="0"/>
              <w:contextualSpacing/>
              <w:rPr>
                <w:sz w:val="24"/>
              </w:rPr>
            </w:pPr>
            <w:r>
              <w:rPr>
                <w:sz w:val="24"/>
              </w:rPr>
              <w:t>未来产业知识产权评议与赋能工程</w:t>
            </w:r>
          </w:p>
        </w:tc>
        <w:tc>
          <w:tcPr>
            <w:tcW w:w="8987" w:type="dxa"/>
            <w:vAlign w:val="center"/>
          </w:tcPr>
          <w:p>
            <w:pPr>
              <w:snapToGrid w:val="0"/>
              <w:contextualSpacing/>
              <w:rPr>
                <w:sz w:val="24"/>
              </w:rPr>
            </w:pPr>
            <w:r>
              <w:rPr>
                <w:sz w:val="24"/>
              </w:rPr>
              <w:t>对知识产权</w:t>
            </w:r>
            <w:r>
              <w:rPr>
                <w:sz w:val="24"/>
              </w:rPr>
              <w:fldChar w:fldCharType="begin"/>
            </w:r>
            <w:r>
              <w:rPr>
                <w:sz w:val="24"/>
              </w:rPr>
              <w:instrText xml:space="preserve"> HYPERLINK "http://www.so.com/s?q=%E9%A2%86%E5%9F%9F&amp;ie=utf-8&amp;src=internal_wenda_recommend_textn" \t "https://wenda.so.com/q/_blank" </w:instrText>
            </w:r>
            <w:r>
              <w:rPr>
                <w:sz w:val="24"/>
              </w:rPr>
              <w:fldChar w:fldCharType="separate"/>
            </w:r>
            <w:r>
              <w:rPr>
                <w:sz w:val="24"/>
              </w:rPr>
              <w:t>领域</w:t>
            </w:r>
            <w:r>
              <w:rPr>
                <w:sz w:val="24"/>
              </w:rPr>
              <w:fldChar w:fldCharType="end"/>
            </w:r>
            <w:r>
              <w:rPr>
                <w:sz w:val="24"/>
              </w:rPr>
              <w:t>的重大</w:t>
            </w:r>
            <w:r>
              <w:rPr>
                <w:sz w:val="24"/>
              </w:rPr>
              <w:fldChar w:fldCharType="begin"/>
            </w:r>
            <w:r>
              <w:rPr>
                <w:sz w:val="24"/>
              </w:rPr>
              <w:instrText xml:space="preserve"> HYPERLINK "http://www.so.com/s?q=%E9%A1%B9%E7%9B%AE&amp;ie=utf-8&amp;src=internal_wenda_recommend_textn" \t "https://wenda.so.com/q/_blank" </w:instrText>
            </w:r>
            <w:r>
              <w:rPr>
                <w:sz w:val="24"/>
              </w:rPr>
              <w:fldChar w:fldCharType="separate"/>
            </w:r>
            <w:r>
              <w:rPr>
                <w:sz w:val="24"/>
              </w:rPr>
              <w:t>项目</w:t>
            </w:r>
            <w:r>
              <w:rPr>
                <w:sz w:val="24"/>
              </w:rPr>
              <w:fldChar w:fldCharType="end"/>
            </w:r>
            <w:r>
              <w:rPr>
                <w:sz w:val="24"/>
              </w:rPr>
              <w:t>的研发与</w:t>
            </w:r>
            <w:r>
              <w:rPr>
                <w:sz w:val="24"/>
              </w:rPr>
              <w:fldChar w:fldCharType="begin"/>
            </w:r>
            <w:r>
              <w:rPr>
                <w:sz w:val="24"/>
              </w:rPr>
              <w:instrText xml:space="preserve"> HYPERLINK "http://www.so.com/s?q=%E5%B8%82%E5%9C%BA%E9%A3%8E%E9%99%A9&amp;ie=utf-8&amp;src=internal_wenda_recommend_textn" \t "https://wenda.so.com/q/_blank" </w:instrText>
            </w:r>
            <w:r>
              <w:rPr>
                <w:sz w:val="24"/>
              </w:rPr>
              <w:fldChar w:fldCharType="separate"/>
            </w:r>
            <w:r>
              <w:rPr>
                <w:sz w:val="24"/>
              </w:rPr>
              <w:t>市场风险</w:t>
            </w:r>
            <w:r>
              <w:rPr>
                <w:sz w:val="24"/>
              </w:rPr>
              <w:fldChar w:fldCharType="end"/>
            </w:r>
            <w:r>
              <w:rPr>
                <w:sz w:val="24"/>
              </w:rPr>
              <w:t>、实施效果与</w:t>
            </w:r>
            <w:r>
              <w:rPr>
                <w:sz w:val="24"/>
              </w:rPr>
              <w:fldChar w:fldCharType="begin"/>
            </w:r>
            <w:r>
              <w:rPr>
                <w:sz w:val="24"/>
              </w:rPr>
              <w:instrText xml:space="preserve"> HYPERLINK "http://www.so.com/s?q=%E6%95%88%E7%8E%87&amp;ie=utf-8&amp;src=internal_wenda_recommend_textn" \t "https://wenda.so.com/q/_blank" </w:instrText>
            </w:r>
            <w:r>
              <w:rPr>
                <w:sz w:val="24"/>
              </w:rPr>
              <w:fldChar w:fldCharType="separate"/>
            </w:r>
            <w:r>
              <w:rPr>
                <w:sz w:val="24"/>
              </w:rPr>
              <w:t>效率</w:t>
            </w:r>
            <w:r>
              <w:rPr>
                <w:sz w:val="24"/>
              </w:rPr>
              <w:fldChar w:fldCharType="end"/>
            </w:r>
            <w:r>
              <w:rPr>
                <w:sz w:val="24"/>
              </w:rPr>
              <w:t>等方面进行评估和审议，在重点前沿领域率先探索布局，加强产业共性关键技术研发，全面增强原始创新能力，加速构建先发优势，实现高端引领发展。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988" w:hRule="atLeast"/>
          <w:jc w:val="center"/>
        </w:trPr>
        <w:tc>
          <w:tcPr>
            <w:tcW w:w="681" w:type="dxa"/>
            <w:vMerge w:val="continue"/>
            <w:vAlign w:val="center"/>
          </w:tcPr>
          <w:p>
            <w:pPr>
              <w:snapToGrid w:val="0"/>
              <w:contextualSpacing/>
              <w:jc w:val="center"/>
              <w:rPr>
                <w:rFonts w:eastAsia="黑体"/>
                <w:sz w:val="24"/>
              </w:rPr>
            </w:pPr>
          </w:p>
        </w:tc>
        <w:tc>
          <w:tcPr>
            <w:tcW w:w="716" w:type="dxa"/>
            <w:vAlign w:val="center"/>
          </w:tcPr>
          <w:p>
            <w:pPr>
              <w:snapToGrid w:val="0"/>
              <w:contextualSpacing/>
              <w:jc w:val="center"/>
              <w:rPr>
                <w:sz w:val="24"/>
              </w:rPr>
            </w:pPr>
            <w:r>
              <w:rPr>
                <w:sz w:val="24"/>
              </w:rPr>
              <w:t>4</w:t>
            </w:r>
          </w:p>
        </w:tc>
        <w:tc>
          <w:tcPr>
            <w:tcW w:w="2668" w:type="dxa"/>
            <w:vAlign w:val="center"/>
          </w:tcPr>
          <w:p>
            <w:pPr>
              <w:snapToGrid w:val="0"/>
              <w:contextualSpacing/>
              <w:rPr>
                <w:sz w:val="24"/>
              </w:rPr>
            </w:pPr>
            <w:r>
              <w:rPr>
                <w:sz w:val="24"/>
              </w:rPr>
              <w:t>科创板上市知识产权加速器建设工程</w:t>
            </w:r>
          </w:p>
        </w:tc>
        <w:tc>
          <w:tcPr>
            <w:tcW w:w="8987" w:type="dxa"/>
            <w:vAlign w:val="center"/>
          </w:tcPr>
          <w:p>
            <w:pPr>
              <w:snapToGrid w:val="0"/>
              <w:contextualSpacing/>
              <w:rPr>
                <w:sz w:val="24"/>
              </w:rPr>
            </w:pPr>
            <w:r>
              <w:rPr>
                <w:sz w:val="24"/>
              </w:rPr>
              <w:t>整合知识产权创造与服务资源，完善科技型企业科创板上市条件，扫清知识产权等方面的上市障碍，提升其市场竞争能力，打通企业从IP到IPO的绿色通道，探索形成促进科技型企业快速健康成长的科技金融新机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1129" w:hRule="atLeast"/>
          <w:jc w:val="center"/>
        </w:trPr>
        <w:tc>
          <w:tcPr>
            <w:tcW w:w="681" w:type="dxa"/>
            <w:vMerge w:val="restart"/>
            <w:vAlign w:val="center"/>
          </w:tcPr>
          <w:p>
            <w:pPr>
              <w:snapToGrid w:val="0"/>
              <w:contextualSpacing/>
              <w:jc w:val="center"/>
              <w:rPr>
                <w:rFonts w:eastAsia="黑体"/>
                <w:sz w:val="24"/>
              </w:rPr>
            </w:pPr>
            <w:r>
              <w:rPr>
                <w:rFonts w:eastAsia="黑体"/>
                <w:sz w:val="24"/>
              </w:rPr>
              <w:t>重大</w:t>
            </w:r>
          </w:p>
          <w:p>
            <w:pPr>
              <w:snapToGrid w:val="0"/>
              <w:contextualSpacing/>
              <w:jc w:val="center"/>
              <w:rPr>
                <w:rFonts w:eastAsia="黑体"/>
                <w:sz w:val="24"/>
              </w:rPr>
            </w:pPr>
            <w:r>
              <w:rPr>
                <w:rFonts w:eastAsia="黑体"/>
                <w:sz w:val="24"/>
              </w:rPr>
              <w:t>项目</w:t>
            </w:r>
          </w:p>
        </w:tc>
        <w:tc>
          <w:tcPr>
            <w:tcW w:w="716" w:type="dxa"/>
            <w:vAlign w:val="center"/>
          </w:tcPr>
          <w:p>
            <w:pPr>
              <w:snapToGrid w:val="0"/>
              <w:contextualSpacing/>
              <w:jc w:val="center"/>
              <w:rPr>
                <w:sz w:val="24"/>
              </w:rPr>
            </w:pPr>
            <w:r>
              <w:rPr>
                <w:sz w:val="24"/>
              </w:rPr>
              <w:t>5</w:t>
            </w:r>
          </w:p>
        </w:tc>
        <w:tc>
          <w:tcPr>
            <w:tcW w:w="2668" w:type="dxa"/>
            <w:vAlign w:val="center"/>
          </w:tcPr>
          <w:p>
            <w:pPr>
              <w:snapToGrid w:val="0"/>
              <w:contextualSpacing/>
              <w:rPr>
                <w:sz w:val="24"/>
              </w:rPr>
            </w:pPr>
            <w:r>
              <w:rPr>
                <w:sz w:val="24"/>
              </w:rPr>
              <w:t>公共品牌与地理标志保护运用促进工程</w:t>
            </w:r>
          </w:p>
        </w:tc>
        <w:tc>
          <w:tcPr>
            <w:tcW w:w="8987" w:type="dxa"/>
            <w:vAlign w:val="center"/>
          </w:tcPr>
          <w:p>
            <w:pPr>
              <w:snapToGrid w:val="0"/>
              <w:contextualSpacing/>
              <w:rPr>
                <w:sz w:val="24"/>
              </w:rPr>
            </w:pPr>
            <w:r>
              <w:rPr>
                <w:sz w:val="24"/>
              </w:rPr>
              <w:t>完善地理标志运用促进体系，提升地理标志运用促进和保护水平，积极引导企业申请使用地理标志专用标志，梳理地理标志产业扶持政策，加强地理标志产品监管，促进现代农业跨</w:t>
            </w:r>
            <w:r>
              <w:rPr>
                <w:rFonts w:hint="eastAsia"/>
                <w:sz w:val="24"/>
              </w:rPr>
              <w:t>越</w:t>
            </w:r>
            <w:r>
              <w:rPr>
                <w:sz w:val="24"/>
              </w:rPr>
              <w:t>式发展。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1101" w:hRule="atLeast"/>
          <w:jc w:val="center"/>
        </w:trPr>
        <w:tc>
          <w:tcPr>
            <w:tcW w:w="681" w:type="dxa"/>
            <w:vMerge w:val="continue"/>
            <w:vAlign w:val="center"/>
          </w:tcPr>
          <w:p>
            <w:pPr>
              <w:snapToGrid w:val="0"/>
              <w:contextualSpacing/>
              <w:jc w:val="center"/>
              <w:rPr>
                <w:rFonts w:eastAsia="黑体"/>
                <w:sz w:val="24"/>
              </w:rPr>
            </w:pPr>
          </w:p>
        </w:tc>
        <w:tc>
          <w:tcPr>
            <w:tcW w:w="716" w:type="dxa"/>
            <w:vAlign w:val="center"/>
          </w:tcPr>
          <w:p>
            <w:pPr>
              <w:snapToGrid w:val="0"/>
              <w:contextualSpacing/>
              <w:jc w:val="center"/>
              <w:rPr>
                <w:sz w:val="24"/>
              </w:rPr>
            </w:pPr>
            <w:r>
              <w:rPr>
                <w:sz w:val="24"/>
              </w:rPr>
              <w:t>6</w:t>
            </w:r>
          </w:p>
        </w:tc>
        <w:tc>
          <w:tcPr>
            <w:tcW w:w="2668" w:type="dxa"/>
            <w:vAlign w:val="center"/>
          </w:tcPr>
          <w:p>
            <w:pPr>
              <w:snapToGrid w:val="0"/>
              <w:contextualSpacing/>
              <w:rPr>
                <w:sz w:val="24"/>
              </w:rPr>
            </w:pPr>
            <w:r>
              <w:rPr>
                <w:sz w:val="24"/>
              </w:rPr>
              <w:t>知识产权服务业品牌机构培育项目</w:t>
            </w:r>
          </w:p>
        </w:tc>
        <w:tc>
          <w:tcPr>
            <w:tcW w:w="8987" w:type="dxa"/>
            <w:vAlign w:val="center"/>
          </w:tcPr>
          <w:p>
            <w:pPr>
              <w:snapToGrid w:val="0"/>
              <w:contextualSpacing/>
              <w:rPr>
                <w:sz w:val="24"/>
              </w:rPr>
            </w:pPr>
            <w:r>
              <w:rPr>
                <w:sz w:val="24"/>
              </w:rPr>
              <w:t>引导知识产权服务机构通过创新经营模式、拓展业务渠道、优化服务内涵等方式，支持知识产权服务机构向品牌化、高端化、集成化、规模化、国际化发展，持续提升服务质量、创新服务模式，营造更好的创新环境和营商环境</w:t>
            </w: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1100" w:hRule="atLeast"/>
          <w:jc w:val="center"/>
        </w:trPr>
        <w:tc>
          <w:tcPr>
            <w:tcW w:w="681" w:type="dxa"/>
            <w:vMerge w:val="continue"/>
            <w:vAlign w:val="center"/>
          </w:tcPr>
          <w:p>
            <w:pPr>
              <w:snapToGrid w:val="0"/>
              <w:contextualSpacing/>
              <w:jc w:val="center"/>
              <w:rPr>
                <w:rFonts w:eastAsia="黑体"/>
                <w:sz w:val="24"/>
              </w:rPr>
            </w:pPr>
          </w:p>
        </w:tc>
        <w:tc>
          <w:tcPr>
            <w:tcW w:w="716" w:type="dxa"/>
            <w:vAlign w:val="center"/>
          </w:tcPr>
          <w:p>
            <w:pPr>
              <w:snapToGrid w:val="0"/>
              <w:contextualSpacing/>
              <w:jc w:val="center"/>
              <w:rPr>
                <w:sz w:val="24"/>
              </w:rPr>
            </w:pPr>
            <w:r>
              <w:rPr>
                <w:sz w:val="24"/>
              </w:rPr>
              <w:t>7</w:t>
            </w:r>
          </w:p>
        </w:tc>
        <w:tc>
          <w:tcPr>
            <w:tcW w:w="2668" w:type="dxa"/>
            <w:vAlign w:val="center"/>
          </w:tcPr>
          <w:p>
            <w:pPr>
              <w:snapToGrid w:val="0"/>
              <w:contextualSpacing/>
              <w:rPr>
                <w:sz w:val="24"/>
              </w:rPr>
            </w:pPr>
            <w:r>
              <w:rPr>
                <w:sz w:val="24"/>
              </w:rPr>
              <w:t>知识产权交易中心建设项目</w:t>
            </w:r>
          </w:p>
        </w:tc>
        <w:tc>
          <w:tcPr>
            <w:tcW w:w="8987" w:type="dxa"/>
            <w:vAlign w:val="center"/>
          </w:tcPr>
          <w:p>
            <w:pPr>
              <w:snapToGrid w:val="0"/>
              <w:contextualSpacing/>
              <w:rPr>
                <w:sz w:val="24"/>
              </w:rPr>
            </w:pPr>
            <w:r>
              <w:rPr>
                <w:sz w:val="24"/>
              </w:rPr>
              <w:t>通过制度、模式、技术创新加速知识产权的转移和转化，打造集知识产权成果交易、中介服务、咨询服务、项目孵化为一体的公共创新服务平台，促进“政产学研金介用”的协同创新，逐步打造以知识产权交易为核心的双创生态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1086" w:hRule="atLeast"/>
          <w:jc w:val="center"/>
        </w:trPr>
        <w:tc>
          <w:tcPr>
            <w:tcW w:w="681" w:type="dxa"/>
            <w:vMerge w:val="continue"/>
            <w:vAlign w:val="center"/>
          </w:tcPr>
          <w:p>
            <w:pPr>
              <w:snapToGrid w:val="0"/>
              <w:contextualSpacing/>
              <w:jc w:val="center"/>
              <w:rPr>
                <w:rFonts w:eastAsia="黑体"/>
                <w:sz w:val="24"/>
              </w:rPr>
            </w:pPr>
          </w:p>
        </w:tc>
        <w:tc>
          <w:tcPr>
            <w:tcW w:w="716" w:type="dxa"/>
            <w:vAlign w:val="center"/>
          </w:tcPr>
          <w:p>
            <w:pPr>
              <w:snapToGrid w:val="0"/>
              <w:contextualSpacing/>
              <w:jc w:val="center"/>
              <w:rPr>
                <w:sz w:val="24"/>
              </w:rPr>
            </w:pPr>
            <w:r>
              <w:rPr>
                <w:sz w:val="24"/>
              </w:rPr>
              <w:t>8</w:t>
            </w:r>
          </w:p>
        </w:tc>
        <w:tc>
          <w:tcPr>
            <w:tcW w:w="2668" w:type="dxa"/>
            <w:vAlign w:val="center"/>
          </w:tcPr>
          <w:p>
            <w:pPr>
              <w:snapToGrid w:val="0"/>
              <w:contextualSpacing/>
              <w:rPr>
                <w:sz w:val="24"/>
              </w:rPr>
            </w:pPr>
            <w:r>
              <w:rPr>
                <w:sz w:val="24"/>
              </w:rPr>
              <w:t>知识产权执法能力强基项目</w:t>
            </w:r>
          </w:p>
        </w:tc>
        <w:tc>
          <w:tcPr>
            <w:tcW w:w="8987" w:type="dxa"/>
            <w:vAlign w:val="center"/>
          </w:tcPr>
          <w:p>
            <w:pPr>
              <w:snapToGrid w:val="0"/>
              <w:contextualSpacing/>
              <w:rPr>
                <w:sz w:val="24"/>
              </w:rPr>
            </w:pPr>
            <w:r>
              <w:rPr>
                <w:sz w:val="24"/>
              </w:rPr>
              <w:t>推进执法力量下沉，不断加强执法队伍建设，规范执法行为，强化专业业务能力，着力提升执法队伍的能力水平。健全监管部门系统内专业问题沟通协调和请示制度，确保基层执法人员得到及时有效的专业指导和支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1422" w:hRule="atLeast"/>
          <w:jc w:val="center"/>
        </w:trPr>
        <w:tc>
          <w:tcPr>
            <w:tcW w:w="681" w:type="dxa"/>
            <w:vMerge w:val="continue"/>
            <w:vAlign w:val="center"/>
          </w:tcPr>
          <w:p>
            <w:pPr>
              <w:snapToGrid w:val="0"/>
              <w:contextualSpacing/>
              <w:jc w:val="center"/>
              <w:rPr>
                <w:rFonts w:eastAsia="黑体"/>
                <w:sz w:val="24"/>
              </w:rPr>
            </w:pPr>
          </w:p>
        </w:tc>
        <w:tc>
          <w:tcPr>
            <w:tcW w:w="716" w:type="dxa"/>
            <w:vAlign w:val="center"/>
          </w:tcPr>
          <w:p>
            <w:pPr>
              <w:snapToGrid w:val="0"/>
              <w:contextualSpacing/>
              <w:jc w:val="center"/>
              <w:rPr>
                <w:sz w:val="24"/>
              </w:rPr>
            </w:pPr>
            <w:r>
              <w:rPr>
                <w:sz w:val="24"/>
              </w:rPr>
              <w:t>9</w:t>
            </w:r>
          </w:p>
        </w:tc>
        <w:tc>
          <w:tcPr>
            <w:tcW w:w="2668" w:type="dxa"/>
            <w:vAlign w:val="center"/>
          </w:tcPr>
          <w:p>
            <w:pPr>
              <w:snapToGrid w:val="0"/>
              <w:contextualSpacing/>
              <w:rPr>
                <w:sz w:val="24"/>
              </w:rPr>
            </w:pPr>
            <w:r>
              <w:rPr>
                <w:sz w:val="24"/>
              </w:rPr>
              <w:t>知识产权海外维权援助项目</w:t>
            </w:r>
          </w:p>
        </w:tc>
        <w:tc>
          <w:tcPr>
            <w:tcW w:w="8987" w:type="dxa"/>
            <w:vAlign w:val="center"/>
          </w:tcPr>
          <w:p>
            <w:pPr>
              <w:snapToGrid w:val="0"/>
              <w:contextualSpacing/>
              <w:rPr>
                <w:sz w:val="24"/>
              </w:rPr>
            </w:pPr>
            <w:r>
              <w:rPr>
                <w:sz w:val="24"/>
              </w:rPr>
              <w:t>加快推进海外知识产权纠纷应对指导中心地方分中心建设，建立海外知识产权风险预警机制，联合海外机构合作共建海外知识产权信息服务平台，推动海外知识产权纠纷信息收集及国内外多层级资源协调。整合海内外知识产权维权服务人才资源，组建海外知识产权专家库，提供海外知识产权纠纷应对指导和协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681" w:type="dxa"/>
            <w:vMerge w:val="continue"/>
            <w:vAlign w:val="center"/>
          </w:tcPr>
          <w:p>
            <w:pPr>
              <w:snapToGrid w:val="0"/>
              <w:contextualSpacing/>
              <w:jc w:val="center"/>
              <w:rPr>
                <w:sz w:val="24"/>
              </w:rPr>
            </w:pPr>
          </w:p>
        </w:tc>
        <w:tc>
          <w:tcPr>
            <w:tcW w:w="716" w:type="dxa"/>
            <w:vAlign w:val="center"/>
          </w:tcPr>
          <w:p>
            <w:pPr>
              <w:snapToGrid w:val="0"/>
              <w:contextualSpacing/>
              <w:jc w:val="center"/>
              <w:rPr>
                <w:sz w:val="24"/>
              </w:rPr>
            </w:pPr>
            <w:r>
              <w:rPr>
                <w:sz w:val="24"/>
              </w:rPr>
              <w:t>10</w:t>
            </w:r>
          </w:p>
        </w:tc>
        <w:tc>
          <w:tcPr>
            <w:tcW w:w="2668" w:type="dxa"/>
            <w:vAlign w:val="center"/>
          </w:tcPr>
          <w:p>
            <w:pPr>
              <w:snapToGrid w:val="0"/>
              <w:contextualSpacing/>
              <w:rPr>
                <w:sz w:val="24"/>
              </w:rPr>
            </w:pPr>
            <w:r>
              <w:rPr>
                <w:sz w:val="24"/>
              </w:rPr>
              <w:t>自由贸易试验区知识产权保护提升工程</w:t>
            </w:r>
          </w:p>
        </w:tc>
        <w:tc>
          <w:tcPr>
            <w:tcW w:w="8987" w:type="dxa"/>
            <w:vAlign w:val="center"/>
          </w:tcPr>
          <w:p>
            <w:pPr>
              <w:snapToGrid w:val="0"/>
              <w:contextualSpacing/>
              <w:rPr>
                <w:sz w:val="24"/>
              </w:rPr>
            </w:pPr>
            <w:r>
              <w:rPr>
                <w:sz w:val="24"/>
              </w:rPr>
              <w:t>针对自由贸易试验区“境内关外”和“一线放开、二线管住”的特征，探索建立统一的管理和执法体制，完善知识产权风险预警和纠纷多元解决机制，实现知识产权的高效保护。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681" w:type="dxa"/>
            <w:vMerge w:val="continue"/>
            <w:vAlign w:val="center"/>
          </w:tcPr>
          <w:p>
            <w:pPr>
              <w:snapToGrid w:val="0"/>
              <w:contextualSpacing/>
              <w:jc w:val="center"/>
              <w:rPr>
                <w:sz w:val="24"/>
              </w:rPr>
            </w:pPr>
          </w:p>
        </w:tc>
        <w:tc>
          <w:tcPr>
            <w:tcW w:w="716" w:type="dxa"/>
            <w:vAlign w:val="center"/>
          </w:tcPr>
          <w:p>
            <w:pPr>
              <w:snapToGrid w:val="0"/>
              <w:contextualSpacing/>
              <w:jc w:val="center"/>
              <w:rPr>
                <w:sz w:val="24"/>
              </w:rPr>
            </w:pPr>
            <w:r>
              <w:rPr>
                <w:sz w:val="24"/>
              </w:rPr>
              <w:t>11</w:t>
            </w:r>
          </w:p>
        </w:tc>
        <w:tc>
          <w:tcPr>
            <w:tcW w:w="2668" w:type="dxa"/>
            <w:vAlign w:val="center"/>
          </w:tcPr>
          <w:p>
            <w:pPr>
              <w:snapToGrid w:val="0"/>
              <w:contextualSpacing/>
              <w:rPr>
                <w:sz w:val="24"/>
              </w:rPr>
            </w:pPr>
            <w:r>
              <w:rPr>
                <w:sz w:val="24"/>
              </w:rPr>
              <w:t>知识产权保护工程</w:t>
            </w:r>
          </w:p>
        </w:tc>
        <w:tc>
          <w:tcPr>
            <w:tcW w:w="8987" w:type="dxa"/>
            <w:vAlign w:val="center"/>
          </w:tcPr>
          <w:p>
            <w:pPr>
              <w:snapToGrid w:val="0"/>
              <w:contextualSpacing/>
              <w:rPr>
                <w:sz w:val="24"/>
              </w:rPr>
            </w:pPr>
            <w:r>
              <w:rPr>
                <w:sz w:val="24"/>
              </w:rPr>
              <w:t>持续加大知识产权行政执法和司法保护力度，加强知识产权保护中心、维权援助中心等保护平台建设，推进快速授权、快速确权、快速维权的全链条协调联动。加强部门协同，推进多元治理，切实降低权利人维权成本，缩短维权周期，提高维权效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681" w:type="dxa"/>
            <w:vMerge w:val="restart"/>
            <w:vAlign w:val="center"/>
          </w:tcPr>
          <w:p>
            <w:pPr>
              <w:snapToGrid w:val="0"/>
              <w:contextualSpacing/>
              <w:jc w:val="center"/>
              <w:rPr>
                <w:rFonts w:eastAsia="黑体"/>
                <w:sz w:val="24"/>
              </w:rPr>
            </w:pPr>
            <w:r>
              <w:rPr>
                <w:rFonts w:eastAsia="黑体"/>
                <w:sz w:val="24"/>
              </w:rPr>
              <w:t>重大</w:t>
            </w:r>
          </w:p>
          <w:p>
            <w:pPr>
              <w:snapToGrid w:val="0"/>
              <w:contextualSpacing/>
              <w:jc w:val="center"/>
              <w:rPr>
                <w:sz w:val="24"/>
              </w:rPr>
            </w:pPr>
            <w:r>
              <w:rPr>
                <w:rFonts w:eastAsia="黑体"/>
                <w:sz w:val="24"/>
              </w:rPr>
              <w:t>平台</w:t>
            </w:r>
          </w:p>
        </w:tc>
        <w:tc>
          <w:tcPr>
            <w:tcW w:w="716" w:type="dxa"/>
            <w:vAlign w:val="center"/>
          </w:tcPr>
          <w:p>
            <w:pPr>
              <w:snapToGrid w:val="0"/>
              <w:contextualSpacing/>
              <w:jc w:val="center"/>
              <w:rPr>
                <w:sz w:val="24"/>
              </w:rPr>
            </w:pPr>
            <w:r>
              <w:rPr>
                <w:sz w:val="24"/>
              </w:rPr>
              <w:t>1</w:t>
            </w:r>
          </w:p>
        </w:tc>
        <w:tc>
          <w:tcPr>
            <w:tcW w:w="2668" w:type="dxa"/>
            <w:vAlign w:val="center"/>
          </w:tcPr>
          <w:p>
            <w:pPr>
              <w:snapToGrid w:val="0"/>
              <w:contextualSpacing/>
              <w:rPr>
                <w:sz w:val="24"/>
              </w:rPr>
            </w:pPr>
            <w:r>
              <w:rPr>
                <w:sz w:val="24"/>
              </w:rPr>
              <w:t>知识产权数字驾驶舱建设</w:t>
            </w:r>
          </w:p>
        </w:tc>
        <w:tc>
          <w:tcPr>
            <w:tcW w:w="8987" w:type="dxa"/>
            <w:vAlign w:val="center"/>
          </w:tcPr>
          <w:p>
            <w:pPr>
              <w:snapToGrid w:val="0"/>
              <w:contextualSpacing/>
              <w:rPr>
                <w:sz w:val="24"/>
              </w:rPr>
            </w:pPr>
            <w:r>
              <w:rPr>
                <w:sz w:val="24"/>
              </w:rPr>
              <w:t>加强知识产权信息开发利用，实现各业务数据的归集、开发、设计，强化数据公益服务和监测分析利用程度，打造综合版的“数字化”知识产权公共服务大数据。围绕知识产权行政管理、重点产业专利导航、重点领域知识产权预警分析、知识产权海外保护等重点领域，推动知识产权数据融合利用，全面提升知识产权数字监管水平，推动整体工作的提效增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681" w:type="dxa"/>
            <w:vMerge w:val="continue"/>
            <w:vAlign w:val="center"/>
          </w:tcPr>
          <w:p>
            <w:pPr>
              <w:snapToGrid w:val="0"/>
              <w:contextualSpacing/>
              <w:jc w:val="center"/>
              <w:rPr>
                <w:sz w:val="24"/>
              </w:rPr>
            </w:pPr>
          </w:p>
        </w:tc>
        <w:tc>
          <w:tcPr>
            <w:tcW w:w="716" w:type="dxa"/>
            <w:vAlign w:val="center"/>
          </w:tcPr>
          <w:p>
            <w:pPr>
              <w:snapToGrid w:val="0"/>
              <w:contextualSpacing/>
              <w:jc w:val="center"/>
              <w:rPr>
                <w:sz w:val="24"/>
              </w:rPr>
            </w:pPr>
            <w:r>
              <w:rPr>
                <w:sz w:val="24"/>
              </w:rPr>
              <w:t>2</w:t>
            </w:r>
          </w:p>
        </w:tc>
        <w:tc>
          <w:tcPr>
            <w:tcW w:w="2668" w:type="dxa"/>
            <w:vAlign w:val="center"/>
          </w:tcPr>
          <w:p>
            <w:pPr>
              <w:snapToGrid w:val="0"/>
              <w:contextualSpacing/>
              <w:rPr>
                <w:sz w:val="24"/>
              </w:rPr>
            </w:pPr>
            <w:r>
              <w:rPr>
                <w:sz w:val="24"/>
              </w:rPr>
              <w:t>产业链知识产权安全监测平台</w:t>
            </w:r>
          </w:p>
        </w:tc>
        <w:tc>
          <w:tcPr>
            <w:tcW w:w="8987" w:type="dxa"/>
            <w:vAlign w:val="center"/>
          </w:tcPr>
          <w:p>
            <w:pPr>
              <w:snapToGrid w:val="0"/>
              <w:contextualSpacing/>
              <w:rPr>
                <w:sz w:val="24"/>
              </w:rPr>
            </w:pPr>
            <w:r>
              <w:rPr>
                <w:sz w:val="24"/>
              </w:rPr>
              <w:t>围绕重点产业的上下游产业链，运用“互联网+”，通过在线识别、实时监测、源头追溯、证据固化等技术手段，加快构建自主可控、安全高效的产业链和多元化、数字化的供应链知识产权安全保障体系，强化知识产权保护，降低用户发现、跟踪、管理线索的成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681" w:type="dxa"/>
            <w:vMerge w:val="continue"/>
            <w:vAlign w:val="center"/>
          </w:tcPr>
          <w:p>
            <w:pPr>
              <w:snapToGrid w:val="0"/>
              <w:contextualSpacing/>
              <w:jc w:val="center"/>
              <w:rPr>
                <w:sz w:val="24"/>
              </w:rPr>
            </w:pPr>
          </w:p>
        </w:tc>
        <w:tc>
          <w:tcPr>
            <w:tcW w:w="716" w:type="dxa"/>
            <w:vAlign w:val="center"/>
          </w:tcPr>
          <w:p>
            <w:pPr>
              <w:snapToGrid w:val="0"/>
              <w:contextualSpacing/>
              <w:jc w:val="center"/>
              <w:rPr>
                <w:sz w:val="24"/>
              </w:rPr>
            </w:pPr>
            <w:r>
              <w:rPr>
                <w:sz w:val="24"/>
              </w:rPr>
              <w:t>3</w:t>
            </w:r>
          </w:p>
        </w:tc>
        <w:tc>
          <w:tcPr>
            <w:tcW w:w="2668" w:type="dxa"/>
            <w:vAlign w:val="center"/>
          </w:tcPr>
          <w:p>
            <w:pPr>
              <w:snapToGrid w:val="0"/>
              <w:contextualSpacing/>
              <w:rPr>
                <w:sz w:val="24"/>
              </w:rPr>
            </w:pPr>
            <w:r>
              <w:rPr>
                <w:sz w:val="24"/>
              </w:rPr>
              <w:t>三大科创高地知识产权运营平台</w:t>
            </w:r>
          </w:p>
        </w:tc>
        <w:tc>
          <w:tcPr>
            <w:tcW w:w="8987" w:type="dxa"/>
            <w:vAlign w:val="center"/>
          </w:tcPr>
          <w:p>
            <w:pPr>
              <w:snapToGrid w:val="0"/>
              <w:contextualSpacing/>
              <w:rPr>
                <w:sz w:val="24"/>
              </w:rPr>
            </w:pPr>
            <w:r>
              <w:rPr>
                <w:sz w:val="24"/>
              </w:rPr>
              <w:t>围绕“互联网+”新材料、生命健康三大科创高地建设，打造集知识产权创造、知识产权保护、交易许可、质押融资、收储托管、数据分析、信息检索、人才教育、政务咨询与服务等一体综合性知识产权大数据服务运营交易平台，实施知识产权优先策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681" w:type="dxa"/>
            <w:vMerge w:val="restart"/>
            <w:vAlign w:val="center"/>
          </w:tcPr>
          <w:p>
            <w:pPr>
              <w:snapToGrid w:val="0"/>
              <w:contextualSpacing/>
              <w:jc w:val="center"/>
              <w:rPr>
                <w:rFonts w:eastAsia="黑体"/>
                <w:sz w:val="24"/>
              </w:rPr>
            </w:pPr>
            <w:r>
              <w:rPr>
                <w:rFonts w:eastAsia="黑体"/>
                <w:sz w:val="24"/>
              </w:rPr>
              <w:t>重大</w:t>
            </w:r>
          </w:p>
          <w:p>
            <w:pPr>
              <w:snapToGrid w:val="0"/>
              <w:contextualSpacing/>
              <w:jc w:val="center"/>
              <w:rPr>
                <w:sz w:val="24"/>
              </w:rPr>
            </w:pPr>
            <w:r>
              <w:rPr>
                <w:rFonts w:eastAsia="黑体"/>
                <w:sz w:val="24"/>
              </w:rPr>
              <w:t>政策</w:t>
            </w:r>
          </w:p>
        </w:tc>
        <w:tc>
          <w:tcPr>
            <w:tcW w:w="716" w:type="dxa"/>
            <w:vAlign w:val="center"/>
          </w:tcPr>
          <w:p>
            <w:pPr>
              <w:snapToGrid w:val="0"/>
              <w:contextualSpacing/>
              <w:jc w:val="center"/>
              <w:rPr>
                <w:sz w:val="24"/>
              </w:rPr>
            </w:pPr>
            <w:r>
              <w:rPr>
                <w:sz w:val="24"/>
              </w:rPr>
              <w:t>1</w:t>
            </w:r>
          </w:p>
        </w:tc>
        <w:tc>
          <w:tcPr>
            <w:tcW w:w="2668" w:type="dxa"/>
            <w:vAlign w:val="center"/>
          </w:tcPr>
          <w:p>
            <w:pPr>
              <w:snapToGrid w:val="0"/>
              <w:contextualSpacing/>
              <w:rPr>
                <w:sz w:val="24"/>
              </w:rPr>
            </w:pPr>
            <w:r>
              <w:rPr>
                <w:sz w:val="24"/>
              </w:rPr>
              <w:t>知识产权促进和保护综合性法规</w:t>
            </w:r>
          </w:p>
        </w:tc>
        <w:tc>
          <w:tcPr>
            <w:tcW w:w="8987" w:type="dxa"/>
            <w:vAlign w:val="center"/>
          </w:tcPr>
          <w:p>
            <w:pPr>
              <w:snapToGrid w:val="0"/>
              <w:contextualSpacing/>
              <w:rPr>
                <w:sz w:val="24"/>
              </w:rPr>
            </w:pPr>
            <w:r>
              <w:rPr>
                <w:sz w:val="24"/>
              </w:rPr>
              <w:t>围绕知识产权全门类、全链条管理，整合散落的立法资源，制定专门条例。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681" w:type="dxa"/>
            <w:vMerge w:val="continue"/>
            <w:vAlign w:val="center"/>
          </w:tcPr>
          <w:p>
            <w:pPr>
              <w:snapToGrid w:val="0"/>
              <w:contextualSpacing/>
              <w:jc w:val="center"/>
              <w:rPr>
                <w:sz w:val="24"/>
              </w:rPr>
            </w:pPr>
          </w:p>
        </w:tc>
        <w:tc>
          <w:tcPr>
            <w:tcW w:w="716" w:type="dxa"/>
            <w:vAlign w:val="center"/>
          </w:tcPr>
          <w:p>
            <w:pPr>
              <w:snapToGrid w:val="0"/>
              <w:contextualSpacing/>
              <w:jc w:val="center"/>
              <w:rPr>
                <w:sz w:val="24"/>
              </w:rPr>
            </w:pPr>
            <w:r>
              <w:rPr>
                <w:sz w:val="24"/>
              </w:rPr>
              <w:t>2</w:t>
            </w:r>
          </w:p>
        </w:tc>
        <w:tc>
          <w:tcPr>
            <w:tcW w:w="2668" w:type="dxa"/>
            <w:vAlign w:val="center"/>
          </w:tcPr>
          <w:p>
            <w:pPr>
              <w:snapToGrid w:val="0"/>
              <w:contextualSpacing/>
              <w:rPr>
                <w:sz w:val="24"/>
              </w:rPr>
            </w:pPr>
            <w:r>
              <w:rPr>
                <w:sz w:val="24"/>
              </w:rPr>
              <w:t>创新高校和科研院所激励机制</w:t>
            </w:r>
          </w:p>
        </w:tc>
        <w:tc>
          <w:tcPr>
            <w:tcW w:w="8987" w:type="dxa"/>
            <w:vAlign w:val="center"/>
          </w:tcPr>
          <w:p>
            <w:pPr>
              <w:snapToGrid w:val="0"/>
              <w:contextualSpacing/>
              <w:rPr>
                <w:sz w:val="24"/>
              </w:rPr>
            </w:pPr>
            <w:r>
              <w:rPr>
                <w:sz w:val="24"/>
              </w:rPr>
              <w:t>深入推进高校、科研院所知识产权管理制度改革，建立以转化运用为导向的科研评价体系，促进公共关键技术攻关和成果扩散。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681" w:type="dxa"/>
            <w:vMerge w:val="continue"/>
            <w:vAlign w:val="center"/>
          </w:tcPr>
          <w:p>
            <w:pPr>
              <w:snapToGrid w:val="0"/>
              <w:contextualSpacing/>
              <w:jc w:val="center"/>
              <w:rPr>
                <w:sz w:val="24"/>
              </w:rPr>
            </w:pPr>
          </w:p>
        </w:tc>
        <w:tc>
          <w:tcPr>
            <w:tcW w:w="716" w:type="dxa"/>
            <w:vAlign w:val="center"/>
          </w:tcPr>
          <w:p>
            <w:pPr>
              <w:snapToGrid w:val="0"/>
              <w:contextualSpacing/>
              <w:jc w:val="center"/>
              <w:rPr>
                <w:sz w:val="24"/>
              </w:rPr>
            </w:pPr>
            <w:r>
              <w:rPr>
                <w:sz w:val="24"/>
              </w:rPr>
              <w:t>3</w:t>
            </w:r>
          </w:p>
        </w:tc>
        <w:tc>
          <w:tcPr>
            <w:tcW w:w="2668" w:type="dxa"/>
            <w:vAlign w:val="center"/>
          </w:tcPr>
          <w:p>
            <w:pPr>
              <w:snapToGrid w:val="0"/>
              <w:contextualSpacing/>
              <w:rPr>
                <w:sz w:val="24"/>
              </w:rPr>
            </w:pPr>
            <w:r>
              <w:rPr>
                <w:sz w:val="24"/>
              </w:rPr>
              <w:t>知识产权高端领航人才培养</w:t>
            </w:r>
          </w:p>
        </w:tc>
        <w:tc>
          <w:tcPr>
            <w:tcW w:w="8987" w:type="dxa"/>
            <w:vAlign w:val="center"/>
          </w:tcPr>
          <w:p>
            <w:pPr>
              <w:snapToGrid w:val="0"/>
              <w:contextualSpacing/>
              <w:rPr>
                <w:sz w:val="24"/>
              </w:rPr>
            </w:pPr>
            <w:r>
              <w:rPr>
                <w:sz w:val="24"/>
              </w:rPr>
              <w:t>制定知识产权职称等级认定、职业行为规范等相关政策，完善知识产权人才评价、流动、激励机制，构建知识产权人才引进、培养和认定工作体系，完善高级知识产权师、正高级知识产权师职称评审机制，构建知识产权决策咨询专家库、领军人才库和骨干人才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82" w:hRule="atLeast"/>
          <w:jc w:val="center"/>
        </w:trPr>
        <w:tc>
          <w:tcPr>
            <w:tcW w:w="681" w:type="dxa"/>
            <w:vMerge w:val="continue"/>
            <w:vAlign w:val="center"/>
          </w:tcPr>
          <w:p>
            <w:pPr>
              <w:snapToGrid w:val="0"/>
              <w:contextualSpacing/>
              <w:jc w:val="center"/>
              <w:rPr>
                <w:sz w:val="24"/>
              </w:rPr>
            </w:pPr>
          </w:p>
        </w:tc>
        <w:tc>
          <w:tcPr>
            <w:tcW w:w="716" w:type="dxa"/>
            <w:vAlign w:val="center"/>
          </w:tcPr>
          <w:p>
            <w:pPr>
              <w:snapToGrid w:val="0"/>
              <w:contextualSpacing/>
              <w:jc w:val="center"/>
              <w:rPr>
                <w:sz w:val="24"/>
              </w:rPr>
            </w:pPr>
            <w:r>
              <w:rPr>
                <w:sz w:val="24"/>
              </w:rPr>
              <w:t>4</w:t>
            </w:r>
          </w:p>
        </w:tc>
        <w:tc>
          <w:tcPr>
            <w:tcW w:w="2668" w:type="dxa"/>
            <w:vAlign w:val="center"/>
          </w:tcPr>
          <w:p>
            <w:pPr>
              <w:snapToGrid w:val="0"/>
              <w:contextualSpacing/>
              <w:rPr>
                <w:sz w:val="24"/>
              </w:rPr>
            </w:pPr>
            <w:r>
              <w:rPr>
                <w:sz w:val="24"/>
              </w:rPr>
              <w:t>完善知识产权交易政策制度</w:t>
            </w:r>
          </w:p>
        </w:tc>
        <w:tc>
          <w:tcPr>
            <w:tcW w:w="8987" w:type="dxa"/>
            <w:vAlign w:val="center"/>
          </w:tcPr>
          <w:p>
            <w:pPr>
              <w:snapToGrid w:val="0"/>
              <w:contextualSpacing/>
              <w:rPr>
                <w:sz w:val="24"/>
              </w:rPr>
            </w:pPr>
            <w:r>
              <w:rPr>
                <w:sz w:val="24"/>
              </w:rPr>
              <w:t>制定完善地方性知识产权交易市场的法规和配套政策，促进交易市场的制度化法制化。通过财税政策引导和鼓励交易市场或机构的信息平台与能力建设，引导建立适应知识产权交易的多元化、多渠道投融资机制，促进知识产权交易市场发展。</w:t>
            </w:r>
          </w:p>
        </w:tc>
      </w:tr>
    </w:tbl>
    <w:p>
      <w:pPr>
        <w:overflowPunct w:val="0"/>
        <w:rPr>
          <w:rFonts w:hint="eastAsia"/>
        </w:rPr>
      </w:pPr>
    </w:p>
    <w:p>
      <w:pPr>
        <w:overflowPunct w:val="0"/>
        <w:sectPr>
          <w:footnotePr>
            <w:numFmt w:val="decimalEnclosedCircleChinese"/>
            <w:numRestart w:val="eachPage"/>
          </w:footnotePr>
          <w:pgSz w:w="16838" w:h="11906" w:orient="landscape"/>
          <w:pgMar w:top="1531" w:right="1871" w:bottom="1531" w:left="1701" w:header="851" w:footer="1134" w:gutter="0"/>
          <w:cols w:space="720" w:num="1"/>
          <w:docGrid w:linePitch="312" w:charSpace="0"/>
        </w:sectPr>
      </w:pPr>
    </w:p>
    <w:p/>
    <w:bookmarkEnd w:id="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90204"/>
    <w:charset w:val="00"/>
    <w:family w:val="swiss"/>
    <w:pitch w:val="default"/>
    <w:sig w:usb0="E0000AFF" w:usb1="00007843" w:usb2="00000001" w:usb3="00000000" w:csb0="400001BF" w:csb1="DFF70000"/>
  </w:font>
  <w:font w:name="楷体_GB2312">
    <w:altName w:val="汉仪楷体KW"/>
    <w:panose1 w:val="02010609030101010101"/>
    <w:charset w:val="00"/>
    <w:family w:val="modern"/>
    <w:pitch w:val="default"/>
    <w:sig w:usb0="00000000" w:usb1="00000000" w:usb2="00000000" w:usb3="00000000" w:csb0="00040000" w:csb1="00000000"/>
  </w:font>
  <w:font w:name="Arial Rounded MT Bold">
    <w:panose1 w:val="020F0704030504030204"/>
    <w:charset w:val="00"/>
    <w:family w:val="swiss"/>
    <w:pitch w:val="default"/>
    <w:sig w:usb0="00000003" w:usb1="00000000" w:usb2="00000000" w:usb3="00000000" w:csb0="20000001" w:csb1="00000000"/>
  </w:font>
  <w:font w:name="黑体">
    <w:altName w:val="汉仪中黑KW"/>
    <w:panose1 w:val="02010609060101010101"/>
    <w:charset w:val="00"/>
    <w:family w:val="auto"/>
    <w:pitch w:val="default"/>
    <w:sig w:usb0="00000000" w:usb1="00000000" w:usb2="00000016" w:usb3="00000000" w:csb0="00040001" w:csb1="00000000"/>
  </w:font>
  <w:font w:name="仿宋">
    <w:altName w:val="汉仪仿宋KW"/>
    <w:panose1 w:val="02010609060101010101"/>
    <w:charset w:val="00"/>
    <w:family w:val="modern"/>
    <w:pitch w:val="default"/>
    <w:sig w:usb0="00000000" w:usb1="00000000" w:usb2="00000016" w:usb3="00000000" w:csb0="00040001" w:csb1="00000000"/>
  </w:font>
  <w:font w:name="等线 Light">
    <w:altName w:val="汉仪中等线KW"/>
    <w:panose1 w:val="02010600030101010101"/>
    <w:charset w:val="00"/>
    <w:family w:val="auto"/>
    <w:pitch w:val="default"/>
    <w:sig w:usb0="00000000" w:usb1="00000000" w:usb2="00000016" w:usb3="00000000" w:csb0="0004000F" w:csb1="00000000"/>
  </w:font>
  <w:font w:name="方正仿宋简体">
    <w:altName w:val="苹方-简"/>
    <w:panose1 w:val="03000509000000000000"/>
    <w:charset w:val="00"/>
    <w:family w:val="script"/>
    <w:pitch w:val="default"/>
    <w:sig w:usb0="00000000" w:usb1="0000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等线">
    <w:altName w:val="汉仪中等线KW"/>
    <w:panose1 w:val="02010600030101010101"/>
    <w:charset w:val="00"/>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楷体">
    <w:altName w:val="汉仪楷体KW"/>
    <w:panose1 w:val="02010609060101010101"/>
    <w:charset w:val="00"/>
    <w:family w:val="modern"/>
    <w:pitch w:val="default"/>
    <w:sig w:usb0="00000000" w:usb1="00000000" w:usb2="00000016" w:usb3="00000000" w:csb0="00040001" w:csb1="00000000"/>
  </w:font>
  <w:font w:name="华文楷体">
    <w:altName w:val="苹方-简"/>
    <w:panose1 w:val="02010600040101010101"/>
    <w:charset w:val="00"/>
    <w:family w:val="auto"/>
    <w:pitch w:val="default"/>
    <w:sig w:usb0="00000000" w:usb1="00000000" w:usb2="00000000" w:usb3="00000000" w:csb0="0004009F" w:csb1="DFD70000"/>
  </w:font>
  <w:font w:name="方正综艺繁体">
    <w:altName w:val="苹方-简"/>
    <w:panose1 w:val="03000509000000000000"/>
    <w:charset w:val="00"/>
    <w:family w:val="script"/>
    <w:pitch w:val="default"/>
    <w:sig w:usb0="00000000" w:usb1="00000000" w:usb2="00000010"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72</w:t>
    </w:r>
    <w:r>
      <w:rPr>
        <w:sz w:val="28"/>
        <w:szCs w:val="28"/>
      </w:rPr>
      <w:fldChar w:fldCharType="end"/>
    </w:r>
    <w:r>
      <w:rPr>
        <w:rStyle w:val="6"/>
        <w:rFonts w:hint="eastAsia"/>
        <w:sz w:val="28"/>
        <w:szCs w:val="28"/>
      </w:rPr>
      <w:t xml:space="preserve"> —</w:t>
    </w:r>
  </w:p>
  <w:p>
    <w:pPr>
      <w:pStyle w:val="3"/>
      <w:ind w:right="360" w:firstLine="36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-193675</wp:posOffset>
              </wp:positionV>
              <wp:extent cx="5615940" cy="252095"/>
              <wp:effectExtent l="0" t="0" r="0" b="0"/>
              <wp:wrapNone/>
              <wp:docPr id="1" name="矩形 1"/>
              <wp:cNvGraphicFramePr/>
              <a:graphic xmlns:a="http://schemas.openxmlformats.org/drawingml/2006/main">
                <a:graphicData uri="http://schemas.microsoft.com/office/word/2010/wordprocessingShape">
                  <wps:wsp>
                    <wps:cNvSpPr/>
                    <wps:spPr>
                      <a:xfrm>
                        <a:off x="0" y="0"/>
                        <a:ext cx="5615940" cy="252095"/>
                      </a:xfrm>
                      <a:prstGeom prst="rect">
                        <a:avLst/>
                      </a:prstGeom>
                      <a:noFill/>
                      <a:ln w="9525">
                        <a:noFill/>
                      </a:ln>
                    </wps:spPr>
                    <wps:bodyPr upright="1"/>
                  </wps:wsp>
                </a:graphicData>
              </a:graphic>
            </wp:anchor>
          </w:drawing>
        </mc:Choice>
        <mc:Fallback>
          <w:pict>
            <v:rect id="_x0000_s1026" o:spid="_x0000_s1026" o:spt="1" style="position:absolute;left:0pt;margin-top:-15.25pt;height:19.85pt;width:442.2pt;mso-position-horizontal:center;mso-position-horizontal-relative:margin;z-index:251658240;mso-width-relative:page;mso-height-relative:page;" filled="f" stroked="f" coordsize="21600,21600" o:gfxdata="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WAAAAZHJzL1BLAQIUABQAAAAIAIdO4kDEs1hM1wAAAAYBAAAPAAAAAAAAAAEAIAAA&#10;ADgAAABkcnMvZG93bnJldi54bWxQSwECFAAUAAAACACHTuJAkTmI6oUBAADxAgAADgAAAAAAAAAB&#10;ACAAAAA8AQAAZHJzL2Uyb0RvYy54bWxQSwUGAAAAAAYABgBZAQAAMwUAAAAA&#10;">
              <v:fill on="f" focussize="0,0"/>
              <v:stroke on="f"/>
              <v:imagedata o:title=""/>
              <o:lock v:ext="edit" aspectratio="f"/>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3FF9BEC"/>
    <w:rsid w:val="5BE3896C"/>
    <w:rsid w:val="C3FF9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line="360" w:lineRule="auto"/>
      <w:ind w:firstLine="200" w:firstLineChars="200"/>
    </w:pPr>
    <w:rPr>
      <w:sz w:val="2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Office_1.2.0.1574_F1E327BC-269C-435d-A152-05C5408002CA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2021-06-16T11:32:00Z</dcterms:created>
  <dc:creator>chanvictor</dc:creator>
  <cp:lastModifiedBy>chanvictor</cp:lastModifiedBy>
  <dcterms:modified xsi:type="dcterms:W3CDTF">2021-06-16T11:34:54Z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2052-1.2.0.1574</vt:lpwstr>
  </property>
</Properties>
</file>