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Times New Roman" w:hAnsi="Times New Roman" w:eastAsia="黑体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/>
          <w:b/>
          <w:sz w:val="44"/>
          <w:szCs w:val="44"/>
          <w:lang w:val="en-US" w:eastAsia="zh-CN"/>
        </w:rPr>
        <w:t>附件2 科技成果自评报告提纲</w:t>
      </w:r>
    </w:p>
    <w:p>
      <w:pPr>
        <w:ind w:left="0" w:firstLine="643" w:firstLineChars="200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ind w:left="0" w:firstLine="643" w:firstLineChars="200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黑体"/>
          <w:b/>
          <w:bCs/>
          <w:color w:val="000000"/>
          <w:sz w:val="32"/>
          <w:szCs w:val="32"/>
        </w:rPr>
        <w:t>科技成果概述</w:t>
      </w:r>
    </w:p>
    <w:p>
      <w:pPr>
        <w:ind w:left="0" w:firstLine="640" w:firstLineChars="200"/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详细介绍被评成果</w:t>
      </w:r>
      <w:r>
        <w:rPr>
          <w:rFonts w:ascii="楷体_GB2312" w:hAnsi="楷体_GB2312" w:eastAsia="宋体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来源（</w:t>
      </w:r>
      <w:r>
        <w:rPr>
          <w:rFonts w:ascii="仿宋_GB2312" w:hAnsi="仿宋_GB2312" w:eastAsia="宋体" w:cs="仿宋_GB2312"/>
          <w:color w:val="auto"/>
          <w:sz w:val="32"/>
          <w:szCs w:val="32"/>
        </w:rPr>
        <w:t>自</w:t>
      </w:r>
      <w:r>
        <w:rPr>
          <w:rFonts w:hint="eastAsia" w:ascii="仿宋_GB2312" w:eastAsia="仿宋_GB2312"/>
          <w:color w:val="auto"/>
          <w:sz w:val="32"/>
          <w:szCs w:val="32"/>
        </w:rPr>
        <w:t>主研发、购买、受让、引进</w:t>
      </w:r>
      <w:r>
        <w:rPr>
          <w:rFonts w:ascii="仿宋_GB2312" w:hAnsi="仿宋_GB2312" w:eastAsia="宋体"/>
          <w:color w:val="auto"/>
          <w:sz w:val="32"/>
          <w:szCs w:val="32"/>
        </w:rPr>
        <w:t>等</w:t>
      </w:r>
      <w:r>
        <w:rPr>
          <w:rFonts w:ascii="楷体_GB2312" w:hAnsi="楷体_GB2312" w:eastAsia="宋体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）、</w:t>
      </w: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研究路径、方法和结果以及取得的相关业绩。</w:t>
      </w:r>
    </w:p>
    <w:p>
      <w:pPr>
        <w:ind w:left="0" w:firstLine="643" w:firstLineChars="200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二、技术成熟度评价</w:t>
      </w:r>
      <w:bookmarkStart w:id="0" w:name="_GoBack"/>
      <w:bookmarkEnd w:id="0"/>
    </w:p>
    <w:p>
      <w:pPr>
        <w:ind w:left="0" w:firstLine="640" w:firstLineChars="200"/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依据被评成果各工作分解单元的成熟度证明材料，确定成果整体成熟度。</w:t>
      </w:r>
    </w:p>
    <w:p>
      <w:pPr>
        <w:ind w:left="0" w:firstLine="643" w:firstLineChars="200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三、技术创新度评价</w:t>
      </w:r>
    </w:p>
    <w:p>
      <w:pPr>
        <w:ind w:left="0" w:firstLine="640" w:firstLineChars="200"/>
        <w:rPr>
          <w:rFonts w:hint="eastAsia"/>
        </w:rPr>
      </w:pP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总结被评成果各工作分解单元的创新点，并根据技术创新度评价方法，确定成果的创新度。</w:t>
      </w:r>
    </w:p>
    <w:p>
      <w:pPr>
        <w:ind w:left="0" w:firstLine="643" w:firstLineChars="200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四、技术先进度评价</w:t>
      </w:r>
    </w:p>
    <w:p>
      <w:pPr>
        <w:ind w:left="0" w:firstLine="640" w:firstLineChars="200"/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利用技术先进度评价方法确定各指标的先进度，由多个指标先进度等级确定成果的整体先进度等级。</w:t>
      </w:r>
    </w:p>
    <w:p>
      <w:pPr>
        <w:ind w:left="210" w:firstLine="321" w:firstLineChars="100"/>
        <w:outlineLvl w:val="0"/>
        <w:rPr>
          <w:rFonts w:hint="eastAsia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五、效益分析</w:t>
      </w:r>
    </w:p>
    <w:p>
      <w:pPr>
        <w:ind w:left="0" w:firstLine="640" w:firstLineChars="200"/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分析被评成果前期投入情况、经济效益情况（隐性收益和显性收益）和社会效益情况等。</w:t>
      </w:r>
    </w:p>
    <w:p>
      <w:pPr>
        <w:ind w:left="210" w:firstLine="321" w:firstLineChars="100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六、项目团队评价</w:t>
      </w:r>
    </w:p>
    <w:p>
      <w:pPr>
        <w:ind w:left="0" w:firstLine="640" w:firstLineChars="200"/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列出成果第一完成人的详细信息和项目团队的基本信息。</w:t>
      </w:r>
    </w:p>
    <w:p>
      <w:pPr>
        <w:ind w:left="210" w:firstLine="321" w:firstLineChars="100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七、专家咨询意见</w:t>
      </w:r>
    </w:p>
    <w:p>
      <w:pPr>
        <w:ind w:left="0" w:firstLine="640" w:firstLineChars="200"/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提供专家咨询意见及基本信息。</w:t>
      </w:r>
    </w:p>
    <w:p>
      <w:pPr>
        <w:ind w:left="210" w:firstLine="321" w:firstLineChars="100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八、综合评价结论</w:t>
      </w:r>
    </w:p>
    <w:p>
      <w:pPr>
        <w:ind w:left="0" w:firstLine="640" w:firstLineChars="200"/>
        <w:rPr>
          <w:rFonts w:hint="eastAsia"/>
          <w:b w:val="0"/>
          <w:bCs w:val="0"/>
        </w:rPr>
      </w:pP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该部分应对研究内容进行总结，综合展示各项指标评价级别，并由此给出综合评价结论。</w:t>
      </w:r>
    </w:p>
    <w:p>
      <w:pPr>
        <w:ind w:left="210" w:firstLine="321" w:firstLineChars="100"/>
        <w:outlineLvl w:val="0"/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/>
          <w:bCs/>
          <w:color w:val="000000"/>
          <w:sz w:val="32"/>
          <w:szCs w:val="32"/>
          <w:lang w:val="en-US" w:eastAsia="zh-CN"/>
        </w:rPr>
        <w:t>九、附件</w:t>
      </w:r>
    </w:p>
    <w:p>
      <w:pPr>
        <w:ind w:left="0" w:firstLine="640" w:firstLineChars="200"/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eastAsia="楷体_GB2312" w:cs="楷体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各项评价结论的支撑材料。</w:t>
      </w:r>
    </w:p>
    <w:p/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6DC40A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6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374</Words>
  <Characters>374</Characters>
  <Lines>26</Lines>
  <Paragraphs>19</Paragraphs>
  <TotalTime>11</TotalTime>
  <ScaleCrop>false</ScaleCrop>
  <LinksUpToDate>false</LinksUpToDate>
  <CharactersWithSpaces>375</CharactersWithSpaces>
  <Application>WPS Office_11.8.6.8811_F1E327BC-269C-435d-A152-05C5408002CA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2021-06-23T06:31:00Z</dcterms:created>
  <dc:creator>Eric Yao</dc:creator>
  <cp:lastModifiedBy>Eric Yao</cp:lastModifiedBy>
  <dcterms:modified xsi:type="dcterms:W3CDTF">2021-06-24T07:25:00Z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