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5E" w:rsidRDefault="00DC4F46">
      <w:pPr>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合肥市加快推进软件产业和集成电路产业发展的若干政策</w:t>
      </w:r>
    </w:p>
    <w:p w:rsidR="0070665E" w:rsidRDefault="0070665E">
      <w:pPr>
        <w:rPr>
          <w:rFonts w:ascii="仿宋_GB2312" w:eastAsia="仿宋_GB2312"/>
          <w:color w:val="000000" w:themeColor="text1"/>
          <w:sz w:val="32"/>
          <w:szCs w:val="32"/>
        </w:rPr>
      </w:pP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第一条</w:t>
      </w:r>
      <w:r>
        <w:rPr>
          <w:rFonts w:ascii="仿宋_GB2312" w:eastAsia="仿宋_GB2312" w:hint="eastAsia"/>
          <w:b/>
          <w:color w:val="000000" w:themeColor="text1"/>
          <w:sz w:val="32"/>
          <w:szCs w:val="32"/>
        </w:rPr>
        <w:t xml:space="preserve"> </w:t>
      </w:r>
      <w:r>
        <w:rPr>
          <w:rFonts w:ascii="仿宋_GB2312" w:eastAsia="仿宋_GB2312"/>
          <w:b/>
          <w:color w:val="000000" w:themeColor="text1"/>
          <w:sz w:val="32"/>
          <w:szCs w:val="32"/>
        </w:rPr>
        <w:t xml:space="preserve"> </w:t>
      </w:r>
      <w:r>
        <w:rPr>
          <w:rFonts w:ascii="仿宋_GB2312" w:eastAsia="仿宋_GB2312" w:hint="eastAsia"/>
          <w:color w:val="000000" w:themeColor="text1"/>
          <w:sz w:val="32"/>
          <w:szCs w:val="32"/>
        </w:rPr>
        <w:t>为加快推进合肥市软件产业和集成电路产业发展</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建设具有重要影响力的软件产业和集成电路产业集聚区</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制定本政策。</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第二条</w:t>
      </w:r>
      <w:r>
        <w:rPr>
          <w:rFonts w:ascii="仿宋_GB2312" w:eastAsia="仿宋_GB2312" w:hint="eastAsia"/>
          <w:b/>
          <w:color w:val="000000" w:themeColor="text1"/>
          <w:sz w:val="32"/>
          <w:szCs w:val="32"/>
        </w:rPr>
        <w:t xml:space="preserve"> </w:t>
      </w:r>
      <w:r>
        <w:rPr>
          <w:rFonts w:ascii="仿宋_GB2312" w:eastAsia="仿宋_GB2312"/>
          <w:b/>
          <w:color w:val="000000" w:themeColor="text1"/>
          <w:sz w:val="32"/>
          <w:szCs w:val="32"/>
        </w:rPr>
        <w:t xml:space="preserve"> </w:t>
      </w:r>
      <w:r>
        <w:rPr>
          <w:rFonts w:ascii="仿宋_GB2312" w:eastAsia="仿宋_GB2312" w:hint="eastAsia"/>
          <w:color w:val="000000" w:themeColor="text1"/>
          <w:sz w:val="32"/>
          <w:szCs w:val="32"/>
        </w:rPr>
        <w:t>设立软件产业发展基金和集成电路产业投资基金。基金集中支持重点企业发展、重大项目建设。</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第三条</w:t>
      </w:r>
      <w:r>
        <w:rPr>
          <w:rFonts w:ascii="仿宋_GB2312" w:eastAsia="仿宋_GB2312" w:hint="eastAsia"/>
          <w:color w:val="000000" w:themeColor="text1"/>
          <w:sz w:val="32"/>
          <w:szCs w:val="32"/>
        </w:rPr>
        <w:t xml:space="preserve"> </w:t>
      </w:r>
      <w:r>
        <w:rPr>
          <w:rFonts w:ascii="仿宋_GB2312" w:eastAsia="仿宋_GB2312"/>
          <w:color w:val="000000" w:themeColor="text1"/>
          <w:sz w:val="32"/>
          <w:szCs w:val="32"/>
        </w:rPr>
        <w:t xml:space="preserve"> </w:t>
      </w:r>
      <w:r>
        <w:rPr>
          <w:rFonts w:ascii="仿宋_GB2312" w:eastAsia="仿宋_GB2312" w:hint="eastAsia"/>
          <w:color w:val="000000" w:themeColor="text1"/>
          <w:sz w:val="32"/>
          <w:szCs w:val="32"/>
        </w:rPr>
        <w:t>支持</w:t>
      </w:r>
      <w:proofErr w:type="gramStart"/>
      <w:r>
        <w:rPr>
          <w:rFonts w:ascii="仿宋_GB2312" w:eastAsia="仿宋_GB2312" w:hint="eastAsia"/>
          <w:color w:val="000000" w:themeColor="text1"/>
          <w:sz w:val="32"/>
          <w:szCs w:val="32"/>
        </w:rPr>
        <w:t>各类私募股</w:t>
      </w:r>
      <w:proofErr w:type="gramEnd"/>
      <w:r>
        <w:rPr>
          <w:rFonts w:ascii="仿宋_GB2312" w:eastAsia="仿宋_GB2312" w:hint="eastAsia"/>
          <w:color w:val="000000" w:themeColor="text1"/>
          <w:sz w:val="32"/>
          <w:szCs w:val="32"/>
        </w:rPr>
        <w:t>权、创业投资基金投资软件产业和集成电路产业。对依法设立的</w:t>
      </w:r>
      <w:proofErr w:type="gramStart"/>
      <w:r>
        <w:rPr>
          <w:rFonts w:ascii="仿宋_GB2312" w:eastAsia="仿宋_GB2312" w:hint="eastAsia"/>
          <w:color w:val="000000" w:themeColor="text1"/>
          <w:sz w:val="32"/>
          <w:szCs w:val="32"/>
        </w:rPr>
        <w:t>各类私募股</w:t>
      </w:r>
      <w:proofErr w:type="gramEnd"/>
      <w:r>
        <w:rPr>
          <w:rFonts w:ascii="仿宋_GB2312" w:eastAsia="仿宋_GB2312" w:hint="eastAsia"/>
          <w:color w:val="000000" w:themeColor="text1"/>
          <w:sz w:val="32"/>
          <w:szCs w:val="32"/>
        </w:rPr>
        <w:t>权、创业投资基金</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按其年度对软件和集成电路项目合计到账投资金额〔不含省和省以下各级政府财政资金、市本级和县</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区开发区两级国有平台出资、引导基金出资及上级有关专项资金部分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下同〕的</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给予基金管理团队奖励</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鼓励软件和集成电路设计企业积极争取依法设立的</w:t>
      </w:r>
      <w:proofErr w:type="gramStart"/>
      <w:r>
        <w:rPr>
          <w:rFonts w:ascii="仿宋_GB2312" w:eastAsia="仿宋_GB2312" w:hint="eastAsia"/>
          <w:color w:val="000000" w:themeColor="text1"/>
          <w:sz w:val="32"/>
          <w:szCs w:val="32"/>
        </w:rPr>
        <w:t>各类私募股</w:t>
      </w:r>
      <w:proofErr w:type="gramEnd"/>
      <w:r>
        <w:rPr>
          <w:rFonts w:ascii="仿宋_GB2312" w:eastAsia="仿宋_GB2312" w:hint="eastAsia"/>
          <w:color w:val="000000" w:themeColor="text1"/>
          <w:sz w:val="32"/>
          <w:szCs w:val="32"/>
        </w:rPr>
        <w:t>权、创业投资基金的投资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对首次获得投资的企业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按其获得投资金额的</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给予奖励</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第四条</w:t>
      </w:r>
      <w:r>
        <w:rPr>
          <w:rFonts w:ascii="仿宋_GB2312" w:eastAsia="仿宋_GB2312" w:hint="eastAsia"/>
          <w:color w:val="000000" w:themeColor="text1"/>
          <w:sz w:val="32"/>
          <w:szCs w:val="32"/>
        </w:rPr>
        <w:t xml:space="preserve">　引导政策性融资担保机构加大对软件产业</w:t>
      </w:r>
      <w:r>
        <w:rPr>
          <w:rFonts w:ascii="仿宋_GB2312" w:eastAsia="仿宋_GB2312" w:hint="eastAsia"/>
          <w:color w:val="000000" w:themeColor="text1"/>
          <w:sz w:val="32"/>
          <w:szCs w:val="32"/>
        </w:rPr>
        <w:t>和集成电路产业支持。对政策性融资担保机构为软件和集成电路企业提供的</w:t>
      </w:r>
      <w:proofErr w:type="gramStart"/>
      <w:r>
        <w:rPr>
          <w:rFonts w:ascii="仿宋_GB2312" w:eastAsia="仿宋_GB2312" w:hint="eastAsia"/>
          <w:color w:val="000000" w:themeColor="text1"/>
          <w:sz w:val="32"/>
          <w:szCs w:val="32"/>
        </w:rPr>
        <w:t>年化担保</w:t>
      </w:r>
      <w:proofErr w:type="gramEnd"/>
      <w:r>
        <w:rPr>
          <w:rFonts w:ascii="仿宋_GB2312" w:eastAsia="仿宋_GB2312" w:hint="eastAsia"/>
          <w:color w:val="000000" w:themeColor="text1"/>
          <w:sz w:val="32"/>
          <w:szCs w:val="32"/>
        </w:rPr>
        <w:t>费率不超过</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且无需企业提供抵押物作为反担保措施和缴存客户保证金的融资担保业务</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按年度为软件和集成电</w:t>
      </w:r>
      <w:r>
        <w:rPr>
          <w:rFonts w:ascii="仿宋_GB2312" w:eastAsia="仿宋_GB2312" w:hint="eastAsia"/>
          <w:color w:val="000000" w:themeColor="text1"/>
          <w:sz w:val="32"/>
          <w:szCs w:val="32"/>
        </w:rPr>
        <w:lastRenderedPageBreak/>
        <w:t>路企业提供的融资担保总额的</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给予政策性融资担保机构补贴。</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第五条</w:t>
      </w:r>
      <w:r>
        <w:rPr>
          <w:rFonts w:ascii="仿宋_GB2312" w:eastAsia="仿宋_GB2312" w:hint="eastAsia"/>
          <w:color w:val="000000" w:themeColor="text1"/>
          <w:sz w:val="32"/>
          <w:szCs w:val="32"/>
        </w:rPr>
        <w:t xml:space="preserve">　对软件和集成电路中小企业当年为扩大研发、生产而新增的贷款</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按年初基准利率的</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给予贷款贴息单个企业每年最高不超过</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第六条</w:t>
      </w:r>
      <w:r>
        <w:rPr>
          <w:rFonts w:ascii="仿宋_GB2312" w:eastAsia="仿宋_GB2312" w:hint="eastAsia"/>
          <w:color w:val="000000" w:themeColor="text1"/>
          <w:sz w:val="32"/>
          <w:szCs w:val="32"/>
        </w:rPr>
        <w:t xml:space="preserve">　支持新落户软件产业和集成电路产业投资项目建设。总投资</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万元以上的软件和集成电路设计类目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按照固定资产实际投资额的</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给予补助</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w:t>
      </w:r>
      <w:r>
        <w:rPr>
          <w:rFonts w:ascii="仿宋_GB2312" w:eastAsia="仿宋_GB2312" w:hint="eastAsia"/>
          <w:color w:val="000000" w:themeColor="text1"/>
          <w:sz w:val="32"/>
          <w:szCs w:val="32"/>
        </w:rPr>
        <w:t>高不超过</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万元。总投资</w:t>
      </w:r>
      <w:r>
        <w:rPr>
          <w:rFonts w:ascii="仿宋_GB2312" w:eastAsia="仿宋_GB2312" w:hint="eastAsia"/>
          <w:color w:val="000000" w:themeColor="text1"/>
          <w:sz w:val="32"/>
          <w:szCs w:val="32"/>
        </w:rPr>
        <w:t>3000</w:t>
      </w:r>
      <w:r>
        <w:rPr>
          <w:rFonts w:ascii="仿宋_GB2312" w:eastAsia="仿宋_GB2312" w:hint="eastAsia"/>
          <w:color w:val="000000" w:themeColor="text1"/>
          <w:sz w:val="32"/>
          <w:szCs w:val="32"/>
        </w:rPr>
        <w:t>万元以上的集成电路制造、封装测试类项目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总投资</w:t>
      </w:r>
      <w:r>
        <w:rPr>
          <w:rFonts w:ascii="仿宋_GB2312" w:eastAsia="仿宋_GB2312" w:hint="eastAsia"/>
          <w:color w:val="000000" w:themeColor="text1"/>
          <w:sz w:val="32"/>
          <w:szCs w:val="32"/>
        </w:rPr>
        <w:t>1000</w:t>
      </w:r>
      <w:r>
        <w:rPr>
          <w:rFonts w:ascii="仿宋_GB2312" w:eastAsia="仿宋_GB2312" w:hint="eastAsia"/>
          <w:color w:val="000000" w:themeColor="text1"/>
          <w:sz w:val="32"/>
          <w:szCs w:val="32"/>
        </w:rPr>
        <w:t>万元以上的集成电路装备、材料类项目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按照固定资产实际投资额的</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给予补助</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2000</w:t>
      </w:r>
      <w:r>
        <w:rPr>
          <w:rFonts w:ascii="仿宋_GB2312" w:eastAsia="仿宋_GB2312" w:hint="eastAsia"/>
          <w:color w:val="000000" w:themeColor="text1"/>
          <w:sz w:val="32"/>
          <w:szCs w:val="32"/>
        </w:rPr>
        <w:t>万元。总投资</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亿元以上的集成电路制造、封装测试类项目总投资</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亿元以上的软件和集成电路装备、材料类项目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或者国内外软件和集成电路龙头企业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在合肥市设立独立法人企业、企业总部或研发中心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按照“一事一议”政策给予支持。对总部新落户合肥市的全国电子信息百强、软件百强企业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按照省级奖励资金的</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给予配套支持。</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第七条</w:t>
      </w:r>
      <w:r>
        <w:rPr>
          <w:rFonts w:ascii="仿宋_GB2312" w:eastAsia="仿宋_GB2312" w:hint="eastAsia"/>
          <w:color w:val="000000" w:themeColor="text1"/>
          <w:sz w:val="32"/>
          <w:szCs w:val="32"/>
        </w:rPr>
        <w:t xml:space="preserve">　强化产业</w:t>
      </w:r>
      <w:proofErr w:type="gramStart"/>
      <w:r>
        <w:rPr>
          <w:rFonts w:ascii="仿宋_GB2312" w:eastAsia="仿宋_GB2312" w:hint="eastAsia"/>
          <w:color w:val="000000" w:themeColor="text1"/>
          <w:sz w:val="32"/>
          <w:szCs w:val="32"/>
        </w:rPr>
        <w:t>链配套</w:t>
      </w:r>
      <w:proofErr w:type="gramEnd"/>
      <w:r>
        <w:rPr>
          <w:rFonts w:ascii="仿宋_GB2312" w:eastAsia="仿宋_GB2312" w:hint="eastAsia"/>
          <w:color w:val="000000" w:themeColor="text1"/>
          <w:sz w:val="32"/>
          <w:szCs w:val="32"/>
        </w:rPr>
        <w:t>招</w:t>
      </w:r>
      <w:r>
        <w:rPr>
          <w:rFonts w:ascii="仿宋_GB2312" w:eastAsia="仿宋_GB2312" w:hint="eastAsia"/>
          <w:color w:val="000000" w:themeColor="text1"/>
          <w:sz w:val="32"/>
          <w:szCs w:val="32"/>
        </w:rPr>
        <w:t>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完善上下游产业链。对软件和集成电路龙头企业引进具有独立法人资格且单个项目投资额</w:t>
      </w:r>
      <w:r>
        <w:rPr>
          <w:rFonts w:ascii="仿宋_GB2312" w:eastAsia="仿宋_GB2312" w:hint="eastAsia"/>
          <w:color w:val="000000" w:themeColor="text1"/>
          <w:sz w:val="32"/>
          <w:szCs w:val="32"/>
        </w:rPr>
        <w:t>1000</w:t>
      </w:r>
      <w:r>
        <w:rPr>
          <w:rFonts w:ascii="仿宋_GB2312" w:eastAsia="仿宋_GB2312" w:hint="eastAsia"/>
          <w:color w:val="000000" w:themeColor="text1"/>
          <w:sz w:val="32"/>
          <w:szCs w:val="32"/>
        </w:rPr>
        <w:t>万元以上的配套企业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按照到位资金的</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‰给予龙头企业奖励</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万元。龙头企业引进的系列配套企业</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年内累计投资额达到</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亿元以上的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可比照单个投资</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亿元以上的企业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整体享受“一事一议”政策支持。</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第八条</w:t>
      </w:r>
      <w:r>
        <w:rPr>
          <w:rFonts w:ascii="仿宋_GB2312" w:eastAsia="仿宋_GB2312" w:hint="eastAsia"/>
          <w:color w:val="000000" w:themeColor="text1"/>
          <w:sz w:val="32"/>
          <w:szCs w:val="32"/>
        </w:rPr>
        <w:t xml:space="preserve">　鼓励软件和集成电路企业做大做强</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对年度销售收</w:t>
      </w:r>
      <w:r>
        <w:rPr>
          <w:rFonts w:ascii="仿宋_GB2312" w:eastAsia="仿宋_GB2312" w:hint="eastAsia"/>
          <w:color w:val="000000" w:themeColor="text1"/>
          <w:sz w:val="32"/>
          <w:szCs w:val="32"/>
        </w:rPr>
        <w:lastRenderedPageBreak/>
        <w:t>入首次突破</w:t>
      </w:r>
      <w:r>
        <w:rPr>
          <w:rFonts w:ascii="仿宋_GB2312" w:eastAsia="仿宋_GB2312" w:hint="eastAsia"/>
          <w:color w:val="000000" w:themeColor="text1"/>
          <w:sz w:val="32"/>
          <w:szCs w:val="32"/>
        </w:rPr>
        <w:t>5000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亿元的软件企业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经认定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分别给予企业管理团队最高不超过</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80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150</w:t>
      </w:r>
      <w:r>
        <w:rPr>
          <w:rFonts w:ascii="仿宋_GB2312" w:eastAsia="仿宋_GB2312" w:hint="eastAsia"/>
          <w:color w:val="000000" w:themeColor="text1"/>
          <w:sz w:val="32"/>
          <w:szCs w:val="32"/>
        </w:rPr>
        <w:t>万元的一次</w:t>
      </w:r>
      <w:r>
        <w:rPr>
          <w:rFonts w:ascii="仿宋_GB2312" w:eastAsia="仿宋_GB2312" w:hint="eastAsia"/>
          <w:color w:val="000000" w:themeColor="text1"/>
          <w:sz w:val="32"/>
          <w:szCs w:val="32"/>
        </w:rPr>
        <w:t>性奖励</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每上一个台阶奖励一次。对年度销售收入首次突破</w:t>
      </w:r>
      <w:r>
        <w:rPr>
          <w:rFonts w:ascii="仿宋_GB2312" w:eastAsia="仿宋_GB2312" w:hint="eastAsia"/>
          <w:color w:val="000000" w:themeColor="text1"/>
          <w:sz w:val="32"/>
          <w:szCs w:val="32"/>
        </w:rPr>
        <w:t>5000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亿元的集成电路设计企业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经认定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分别给予企业管理团队最高不超过</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150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200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万元的一次性奖励</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每上个台阶奖励一次。对年度销售收入首次突破</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亿元、</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亿元的集成电路制造、封装测试、装备及材料类企业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经认定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分别给予企业管理团队最高不超过</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200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万元的一</w:t>
      </w:r>
      <w:r>
        <w:rPr>
          <w:rFonts w:ascii="仿宋_GB2312" w:eastAsia="仿宋_GB2312" w:hint="eastAsia"/>
          <w:color w:val="000000" w:themeColor="text1"/>
          <w:sz w:val="32"/>
          <w:szCs w:val="32"/>
        </w:rPr>
        <w:t>次</w:t>
      </w:r>
      <w:r>
        <w:rPr>
          <w:rFonts w:ascii="仿宋_GB2312" w:eastAsia="仿宋_GB2312" w:hint="eastAsia"/>
          <w:color w:val="000000" w:themeColor="text1"/>
          <w:sz w:val="32"/>
          <w:szCs w:val="32"/>
        </w:rPr>
        <w:t>性奖励</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每上一个台阶奖励一次。</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第九条</w:t>
      </w:r>
      <w:r>
        <w:rPr>
          <w:rFonts w:ascii="仿宋_GB2312" w:eastAsia="仿宋_GB2312" w:hint="eastAsia"/>
          <w:color w:val="000000" w:themeColor="text1"/>
          <w:sz w:val="32"/>
          <w:szCs w:val="32"/>
        </w:rPr>
        <w:t xml:space="preserve">　支持软件和集成电路企业开展多种形式</w:t>
      </w:r>
      <w:r>
        <w:rPr>
          <w:rFonts w:ascii="仿宋_GB2312" w:eastAsia="仿宋_GB2312" w:hint="eastAsia"/>
          <w:color w:val="000000" w:themeColor="text1"/>
          <w:sz w:val="32"/>
          <w:szCs w:val="32"/>
        </w:rPr>
        <w:t>的兼并重组和投资合作</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软件和集成电路企业</w:t>
      </w:r>
      <w:proofErr w:type="gramStart"/>
      <w:r>
        <w:rPr>
          <w:rFonts w:ascii="仿宋_GB2312" w:eastAsia="仿宋_GB2312" w:hint="eastAsia"/>
          <w:color w:val="000000" w:themeColor="text1"/>
          <w:sz w:val="32"/>
          <w:szCs w:val="32"/>
        </w:rPr>
        <w:t>并购非</w:t>
      </w:r>
      <w:proofErr w:type="gramEnd"/>
      <w:r>
        <w:rPr>
          <w:rFonts w:ascii="仿宋_GB2312" w:eastAsia="仿宋_GB2312" w:hint="eastAsia"/>
          <w:color w:val="000000" w:themeColor="text1"/>
          <w:sz w:val="32"/>
          <w:szCs w:val="32"/>
        </w:rPr>
        <w:t>股权关联企业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并购资金达</w:t>
      </w:r>
      <w:r>
        <w:rPr>
          <w:rFonts w:ascii="仿宋_GB2312" w:eastAsia="仿宋_GB2312" w:hint="eastAsia"/>
          <w:color w:val="000000" w:themeColor="text1"/>
          <w:sz w:val="32"/>
          <w:szCs w:val="32"/>
        </w:rPr>
        <w:t>1000</w:t>
      </w:r>
      <w:r>
        <w:rPr>
          <w:rFonts w:ascii="仿宋_GB2312" w:eastAsia="仿宋_GB2312" w:hint="eastAsia"/>
          <w:color w:val="000000" w:themeColor="text1"/>
          <w:sz w:val="32"/>
          <w:szCs w:val="32"/>
        </w:rPr>
        <w:t>万元以上的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按照并购资金的</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给予并购企业补贴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单个并购项目最高不超过</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万元。</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第十条</w:t>
      </w:r>
      <w:r>
        <w:rPr>
          <w:rFonts w:ascii="仿宋_GB2312" w:eastAsia="仿宋_GB2312" w:hint="eastAsia"/>
          <w:color w:val="000000" w:themeColor="text1"/>
          <w:sz w:val="32"/>
          <w:szCs w:val="32"/>
        </w:rPr>
        <w:t xml:space="preserve">　支持软件和集成电路产业</w:t>
      </w:r>
      <w:proofErr w:type="gramStart"/>
      <w:r>
        <w:rPr>
          <w:rFonts w:ascii="仿宋_GB2312" w:eastAsia="仿宋_GB2312" w:hint="eastAsia"/>
          <w:color w:val="000000" w:themeColor="text1"/>
          <w:sz w:val="32"/>
          <w:szCs w:val="32"/>
        </w:rPr>
        <w:t>链企业</w:t>
      </w:r>
      <w:proofErr w:type="gramEnd"/>
      <w:r>
        <w:rPr>
          <w:rFonts w:ascii="仿宋_GB2312" w:eastAsia="仿宋_GB2312" w:hint="eastAsia"/>
          <w:color w:val="000000" w:themeColor="text1"/>
          <w:sz w:val="32"/>
          <w:szCs w:val="32"/>
        </w:rPr>
        <w:t>扩大产品销售。对首次采购自主开发的软件产品的企业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按照年采购金额的</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给予补贴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对首次采购自主研发的集成电路芯片的企业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按照年采购金额的</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给予补贴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对首次采购能够形成产业链协同发展或服务的其他产品的企业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按照年采购金额的</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给予补贴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万元。</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第十一条</w:t>
      </w:r>
      <w:r>
        <w:rPr>
          <w:rFonts w:ascii="仿宋_GB2312" w:eastAsia="仿宋_GB2312" w:hint="eastAsia"/>
          <w:color w:val="000000" w:themeColor="text1"/>
          <w:sz w:val="32"/>
          <w:szCs w:val="32"/>
        </w:rPr>
        <w:t xml:space="preserve">　鼓励软件和集成电路企业根据年度申报指南</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积</w:t>
      </w:r>
      <w:r>
        <w:rPr>
          <w:rFonts w:ascii="仿宋_GB2312" w:eastAsia="仿宋_GB2312" w:hint="eastAsia"/>
          <w:color w:val="000000" w:themeColor="text1"/>
          <w:sz w:val="32"/>
          <w:szCs w:val="32"/>
        </w:rPr>
        <w:lastRenderedPageBreak/>
        <w:t>极申报合肥市关键技术重大研发类项目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项目经综合评审通过后</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按照评审结果</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给予最高不超过</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万元“借转补”项目资金支持。</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第十二条</w:t>
      </w:r>
      <w:r>
        <w:rPr>
          <w:rFonts w:ascii="仿宋_GB2312" w:eastAsia="仿宋_GB2312" w:hint="eastAsia"/>
          <w:color w:val="000000" w:themeColor="text1"/>
          <w:sz w:val="32"/>
          <w:szCs w:val="32"/>
        </w:rPr>
        <w:t xml:space="preserve">　对年主营收入</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万元及以上软件和集成电路企业购置用于研发的关键仪器设备</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原值</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万元及以上</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按其年度实际支出额的</w:t>
      </w:r>
      <w:r>
        <w:rPr>
          <w:rFonts w:ascii="仿宋_GB2312" w:eastAsia="仿宋_GB2312" w:hint="eastAsia"/>
          <w:color w:val="000000" w:themeColor="text1"/>
          <w:sz w:val="32"/>
          <w:szCs w:val="32"/>
        </w:rPr>
        <w:t>15%</w:t>
      </w:r>
      <w:r>
        <w:rPr>
          <w:rFonts w:ascii="仿宋_GB2312" w:eastAsia="仿宋_GB2312" w:hint="eastAsia"/>
          <w:color w:val="000000" w:themeColor="text1"/>
          <w:sz w:val="32"/>
          <w:szCs w:val="32"/>
        </w:rPr>
        <w:t>给予补助</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单台仪器设备补助最高不超过</w:t>
      </w:r>
      <w:r>
        <w:rPr>
          <w:rFonts w:ascii="仿宋_GB2312" w:eastAsia="仿宋_GB2312" w:hint="eastAsia"/>
          <w:color w:val="000000" w:themeColor="text1"/>
          <w:sz w:val="32"/>
          <w:szCs w:val="32"/>
        </w:rPr>
        <w:t>200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单个企业补助最高不超过</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补助资金专项用于研发支出。</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第十三条</w:t>
      </w:r>
      <w:r>
        <w:rPr>
          <w:rFonts w:ascii="仿宋_GB2312" w:eastAsia="仿宋_GB2312" w:hint="eastAsia"/>
          <w:color w:val="000000" w:themeColor="text1"/>
          <w:sz w:val="32"/>
          <w:szCs w:val="32"/>
        </w:rPr>
        <w:t xml:space="preserve">　集成电路设计</w:t>
      </w:r>
      <w:proofErr w:type="gramStart"/>
      <w:r>
        <w:rPr>
          <w:rFonts w:ascii="仿宋_GB2312" w:eastAsia="仿宋_GB2312" w:hint="eastAsia"/>
          <w:color w:val="000000" w:themeColor="text1"/>
          <w:sz w:val="32"/>
          <w:szCs w:val="32"/>
        </w:rPr>
        <w:t>企证参加</w:t>
      </w:r>
      <w:proofErr w:type="gramEnd"/>
      <w:r>
        <w:rPr>
          <w:rFonts w:ascii="仿宋_GB2312" w:eastAsia="仿宋_GB2312" w:hint="eastAsia"/>
          <w:color w:val="000000" w:themeColor="text1"/>
          <w:sz w:val="32"/>
          <w:szCs w:val="32"/>
        </w:rPr>
        <w:t>MPW</w:t>
      </w:r>
      <w:r>
        <w:rPr>
          <w:rFonts w:ascii="仿宋_GB2312" w:eastAsia="仿宋_GB2312" w:hint="eastAsia"/>
          <w:color w:val="000000" w:themeColor="text1"/>
          <w:sz w:val="32"/>
          <w:szCs w:val="32"/>
        </w:rPr>
        <w:t>项目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多项目晶</w:t>
      </w:r>
      <w:proofErr w:type="gramStart"/>
      <w:r>
        <w:rPr>
          <w:rFonts w:ascii="仿宋_GB2312" w:eastAsia="仿宋_GB2312" w:hint="eastAsia"/>
          <w:color w:val="000000" w:themeColor="text1"/>
          <w:sz w:val="32"/>
          <w:szCs w:val="32"/>
        </w:rPr>
        <w:t>圆项目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含单企业</w:t>
      </w:r>
      <w:proofErr w:type="gramEnd"/>
      <w:r>
        <w:rPr>
          <w:rFonts w:ascii="仿宋_GB2312" w:eastAsia="仿宋_GB2312" w:hint="eastAsia"/>
          <w:color w:val="000000" w:themeColor="text1"/>
          <w:sz w:val="32"/>
          <w:szCs w:val="32"/>
        </w:rPr>
        <w:t>MPW),</w:t>
      </w:r>
      <w:r>
        <w:rPr>
          <w:rFonts w:ascii="仿宋_GB2312" w:eastAsia="仿宋_GB2312" w:hint="eastAsia"/>
          <w:color w:val="000000" w:themeColor="text1"/>
          <w:sz w:val="32"/>
          <w:szCs w:val="32"/>
        </w:rPr>
        <w:t>同一设计型号首轮流片</w:t>
      </w:r>
      <w:r>
        <w:rPr>
          <w:rFonts w:ascii="仿宋_GB2312" w:eastAsia="仿宋_GB2312" w:hint="eastAsia"/>
          <w:color w:val="000000" w:themeColor="text1"/>
          <w:sz w:val="32"/>
          <w:szCs w:val="32"/>
        </w:rPr>
        <w:t>、</w:t>
      </w:r>
      <w:proofErr w:type="gramStart"/>
      <w:r>
        <w:rPr>
          <w:rFonts w:ascii="仿宋_GB2312" w:eastAsia="仿宋_GB2312" w:hint="eastAsia"/>
          <w:color w:val="000000" w:themeColor="text1"/>
          <w:sz w:val="32"/>
          <w:szCs w:val="32"/>
        </w:rPr>
        <w:t>再次流片分别</w:t>
      </w:r>
      <w:proofErr w:type="gramEnd"/>
      <w:r>
        <w:rPr>
          <w:rFonts w:ascii="仿宋_GB2312" w:eastAsia="仿宋_GB2312" w:hint="eastAsia"/>
          <w:color w:val="000000" w:themeColor="text1"/>
          <w:sz w:val="32"/>
          <w:szCs w:val="32"/>
        </w:rPr>
        <w:t>按</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给予补贴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单个企业每年最高不超过</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万元。企业进行</w:t>
      </w:r>
      <w:proofErr w:type="gramStart"/>
      <w:r>
        <w:rPr>
          <w:rFonts w:ascii="仿宋_GB2312" w:eastAsia="仿宋_GB2312" w:hint="eastAsia"/>
          <w:color w:val="000000" w:themeColor="text1"/>
          <w:sz w:val="32"/>
          <w:szCs w:val="32"/>
        </w:rPr>
        <w:t>工程流片</w:t>
      </w:r>
      <w:proofErr w:type="gramEnd"/>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按照型号产品掩膜版制作费用或首轮流</w:t>
      </w:r>
      <w:proofErr w:type="gramStart"/>
      <w:r>
        <w:rPr>
          <w:rFonts w:ascii="仿宋_GB2312" w:eastAsia="仿宋_GB2312" w:hint="eastAsia"/>
          <w:color w:val="000000" w:themeColor="text1"/>
          <w:sz w:val="32"/>
          <w:szCs w:val="32"/>
        </w:rPr>
        <w:t>片费用</w:t>
      </w:r>
      <w:proofErr w:type="gramEnd"/>
      <w:r>
        <w:rPr>
          <w:rFonts w:ascii="仿宋_GB2312" w:eastAsia="仿宋_GB2312" w:hint="eastAsia"/>
          <w:color w:val="000000" w:themeColor="text1"/>
          <w:sz w:val="32"/>
          <w:szCs w:val="32"/>
        </w:rPr>
        <w:t>的</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给予补贴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单个企业每年最高不超过</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万元。</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第十四条</w:t>
      </w:r>
      <w:r>
        <w:rPr>
          <w:rFonts w:ascii="仿宋_GB2312" w:eastAsia="仿宋_GB2312" w:hint="eastAsia"/>
          <w:color w:val="000000" w:themeColor="text1"/>
          <w:sz w:val="32"/>
          <w:szCs w:val="32"/>
        </w:rPr>
        <w:t xml:space="preserve">　支持软件和集成电路企业购买</w:t>
      </w:r>
      <w:r>
        <w:rPr>
          <w:rFonts w:ascii="仿宋_GB2312" w:eastAsia="仿宋_GB2312" w:hint="eastAsia"/>
          <w:color w:val="000000" w:themeColor="text1"/>
          <w:sz w:val="32"/>
          <w:szCs w:val="32"/>
        </w:rPr>
        <w:t>IP(</w:t>
      </w:r>
      <w:r>
        <w:rPr>
          <w:rFonts w:ascii="仿宋_GB2312" w:eastAsia="仿宋_GB2312" w:hint="eastAsia"/>
          <w:color w:val="000000" w:themeColor="text1"/>
          <w:sz w:val="32"/>
          <w:szCs w:val="32"/>
        </w:rPr>
        <w:t>知识产权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开展研发</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卖方应为全球市场占有率</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以上的专业</w:t>
      </w:r>
      <w:r>
        <w:rPr>
          <w:rFonts w:ascii="仿宋_GB2312" w:eastAsia="仿宋_GB2312" w:hint="eastAsia"/>
          <w:color w:val="000000" w:themeColor="text1"/>
          <w:sz w:val="32"/>
          <w:szCs w:val="32"/>
        </w:rPr>
        <w:t>IP</w:t>
      </w:r>
      <w:r>
        <w:rPr>
          <w:rFonts w:ascii="仿宋_GB2312" w:eastAsia="仿宋_GB2312" w:hint="eastAsia"/>
          <w:color w:val="000000" w:themeColor="text1"/>
          <w:sz w:val="32"/>
          <w:szCs w:val="32"/>
        </w:rPr>
        <w:t>提供商或者晶圆代工厂</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给予购买</w:t>
      </w:r>
      <w:r>
        <w:rPr>
          <w:rFonts w:ascii="仿宋_GB2312" w:eastAsia="仿宋_GB2312" w:hint="eastAsia"/>
          <w:color w:val="000000" w:themeColor="text1"/>
          <w:sz w:val="32"/>
          <w:szCs w:val="32"/>
        </w:rPr>
        <w:t>IP</w:t>
      </w:r>
      <w:r>
        <w:rPr>
          <w:rFonts w:ascii="仿宋_GB2312" w:eastAsia="仿宋_GB2312" w:hint="eastAsia"/>
          <w:color w:val="000000" w:themeColor="text1"/>
          <w:sz w:val="32"/>
          <w:szCs w:val="32"/>
        </w:rPr>
        <w:t>直接费用</w:t>
      </w:r>
      <w:r>
        <w:rPr>
          <w:rFonts w:ascii="仿宋_GB2312" w:eastAsia="仿宋_GB2312" w:hint="eastAsia"/>
          <w:color w:val="000000" w:themeColor="text1"/>
          <w:sz w:val="32"/>
          <w:szCs w:val="32"/>
        </w:rPr>
        <w:t>60%</w:t>
      </w:r>
      <w:r>
        <w:rPr>
          <w:rFonts w:ascii="仿宋_GB2312" w:eastAsia="仿宋_GB2312" w:hint="eastAsia"/>
          <w:color w:val="000000" w:themeColor="text1"/>
          <w:sz w:val="32"/>
          <w:szCs w:val="32"/>
        </w:rPr>
        <w:t>的补贴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单个企业每年最高不超过</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补贴最多不超过</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年。对软件企业新增成套专业软件和租用</w:t>
      </w:r>
      <w:proofErr w:type="gramStart"/>
      <w:r>
        <w:rPr>
          <w:rFonts w:ascii="仿宋_GB2312" w:eastAsia="仿宋_GB2312" w:hint="eastAsia"/>
          <w:color w:val="000000" w:themeColor="text1"/>
          <w:sz w:val="32"/>
          <w:szCs w:val="32"/>
        </w:rPr>
        <w:t>云数据</w:t>
      </w:r>
      <w:proofErr w:type="gramEnd"/>
      <w:r>
        <w:rPr>
          <w:rFonts w:ascii="仿宋_GB2312" w:eastAsia="仿宋_GB2312" w:hint="eastAsia"/>
          <w:color w:val="000000" w:themeColor="text1"/>
          <w:sz w:val="32"/>
          <w:szCs w:val="32"/>
        </w:rPr>
        <w:t>中心等费用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按实际投入的</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给予补贴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200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补贴最多不超</w:t>
      </w:r>
      <w:r>
        <w:rPr>
          <w:rFonts w:ascii="仿宋_GB2312" w:eastAsia="仿宋_GB2312" w:hint="eastAsia"/>
          <w:color w:val="000000" w:themeColor="text1"/>
          <w:sz w:val="32"/>
          <w:szCs w:val="32"/>
        </w:rPr>
        <w:t>过</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对通过第三方</w:t>
      </w:r>
      <w:r>
        <w:rPr>
          <w:rFonts w:ascii="仿宋_GB2312" w:eastAsia="仿宋_GB2312" w:hint="eastAsia"/>
          <w:color w:val="000000" w:themeColor="text1"/>
          <w:sz w:val="32"/>
          <w:szCs w:val="32"/>
        </w:rPr>
        <w:t>IC</w:t>
      </w:r>
      <w:r>
        <w:rPr>
          <w:rFonts w:ascii="仿宋_GB2312" w:eastAsia="仿宋_GB2312" w:hint="eastAsia"/>
          <w:color w:val="000000" w:themeColor="text1"/>
          <w:sz w:val="32"/>
          <w:szCs w:val="32"/>
        </w:rPr>
        <w:t>设计或检测平台实行</w:t>
      </w:r>
      <w:r>
        <w:rPr>
          <w:rFonts w:ascii="仿宋_GB2312" w:eastAsia="仿宋_GB2312" w:hint="eastAsia"/>
          <w:color w:val="000000" w:themeColor="text1"/>
          <w:sz w:val="32"/>
          <w:szCs w:val="32"/>
        </w:rPr>
        <w:t>IP</w:t>
      </w:r>
      <w:r>
        <w:rPr>
          <w:rFonts w:ascii="仿宋_GB2312" w:eastAsia="仿宋_GB2312" w:hint="eastAsia"/>
          <w:color w:val="000000" w:themeColor="text1"/>
          <w:sz w:val="32"/>
          <w:szCs w:val="32"/>
        </w:rPr>
        <w:t>复用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知识产权共享</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、共享设计工具软件或进行测试分析的集成电路企业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给予实际费用</w:t>
      </w:r>
      <w:r>
        <w:rPr>
          <w:rFonts w:ascii="仿宋_GB2312" w:eastAsia="仿宋_GB2312" w:hint="eastAsia"/>
          <w:color w:val="000000" w:themeColor="text1"/>
          <w:sz w:val="32"/>
          <w:szCs w:val="32"/>
        </w:rPr>
        <w:t>40%-60%</w:t>
      </w:r>
      <w:r>
        <w:rPr>
          <w:rFonts w:ascii="仿宋_GB2312" w:eastAsia="仿宋_GB2312" w:hint="eastAsia"/>
          <w:color w:val="000000" w:themeColor="text1"/>
          <w:sz w:val="32"/>
          <w:szCs w:val="32"/>
        </w:rPr>
        <w:t>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单个企业每年最高不超过</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万元。</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lastRenderedPageBreak/>
        <w:t>第十五条</w:t>
      </w:r>
      <w:r>
        <w:rPr>
          <w:rFonts w:ascii="仿宋_GB2312" w:eastAsia="仿宋_GB2312" w:hint="eastAsia"/>
          <w:color w:val="000000" w:themeColor="text1"/>
          <w:sz w:val="32"/>
          <w:szCs w:val="32"/>
        </w:rPr>
        <w:t xml:space="preserve">　对软件和集成电路企业当年获得国内发明专利授权的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每件给予企业</w:t>
      </w:r>
      <w:r>
        <w:rPr>
          <w:rFonts w:ascii="仿宋_GB2312" w:eastAsia="仿宋_GB2312" w:hint="eastAsia"/>
          <w:color w:val="000000" w:themeColor="text1"/>
          <w:sz w:val="32"/>
          <w:szCs w:val="32"/>
        </w:rPr>
        <w:t>5000</w:t>
      </w:r>
      <w:r>
        <w:rPr>
          <w:rFonts w:ascii="仿宋_GB2312" w:eastAsia="仿宋_GB2312" w:hint="eastAsia"/>
          <w:color w:val="000000" w:themeColor="text1"/>
          <w:sz w:val="32"/>
          <w:szCs w:val="32"/>
        </w:rPr>
        <w:t>元资助</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对企业当年获得美国日本和欧洲专利局发明专利授权的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每件给予企业</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万元资助</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同一件专利不重复享受。企业当年获得发明专利授权</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件及以上且预缴</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不含授权当年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年费的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分别给予</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万元的奖励。</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第十六条</w:t>
      </w:r>
      <w:r>
        <w:rPr>
          <w:rFonts w:ascii="仿宋_GB2312" w:eastAsia="仿宋_GB2312" w:hint="eastAsia"/>
          <w:color w:val="000000" w:themeColor="text1"/>
          <w:sz w:val="32"/>
          <w:szCs w:val="32"/>
        </w:rPr>
        <w:t xml:space="preserve">　支持软件和</w:t>
      </w:r>
      <w:r>
        <w:rPr>
          <w:rFonts w:ascii="仿宋_GB2312" w:eastAsia="仿宋_GB2312" w:hint="eastAsia"/>
          <w:color w:val="000000" w:themeColor="text1"/>
          <w:sz w:val="32"/>
          <w:szCs w:val="32"/>
        </w:rPr>
        <w:t>集成电路企业、产业技术联盟专业机构等建设共性技术服务</w:t>
      </w:r>
      <w:r>
        <w:rPr>
          <w:rFonts w:ascii="仿宋_GB2312" w:eastAsia="仿宋_GB2312" w:hint="eastAsia"/>
          <w:color w:val="000000" w:themeColor="text1"/>
          <w:sz w:val="32"/>
          <w:szCs w:val="32"/>
        </w:rPr>
        <w:t>平台</w:t>
      </w:r>
      <w:r>
        <w:rPr>
          <w:rFonts w:ascii="仿宋_GB2312" w:eastAsia="仿宋_GB2312" w:hint="eastAsia"/>
          <w:color w:val="000000" w:themeColor="text1"/>
          <w:sz w:val="32"/>
          <w:szCs w:val="32"/>
        </w:rPr>
        <w:t>和产业促进服务平台。对年度服务软件企业和集成电路企业分别超过</w:t>
      </w:r>
      <w:r>
        <w:rPr>
          <w:rFonts w:ascii="仿宋_GB2312" w:eastAsia="仿宋_GB2312" w:hint="eastAsia"/>
          <w:color w:val="000000" w:themeColor="text1"/>
          <w:sz w:val="32"/>
          <w:szCs w:val="32"/>
        </w:rPr>
        <w:t>80</w:t>
      </w:r>
      <w:r>
        <w:rPr>
          <w:rFonts w:ascii="仿宋_GB2312" w:eastAsia="仿宋_GB2312" w:hint="eastAsia"/>
          <w:color w:val="000000" w:themeColor="text1"/>
          <w:sz w:val="32"/>
          <w:szCs w:val="32"/>
        </w:rPr>
        <w:t>家和</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家的平台</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给予不超过建设投资额</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200</w:t>
      </w:r>
      <w:r>
        <w:rPr>
          <w:rFonts w:ascii="仿宋_GB2312" w:eastAsia="仿宋_GB2312" w:hint="eastAsia"/>
          <w:color w:val="000000" w:themeColor="text1"/>
          <w:sz w:val="32"/>
          <w:szCs w:val="32"/>
        </w:rPr>
        <w:t>万元的</w:t>
      </w:r>
      <w:r>
        <w:rPr>
          <w:rFonts w:ascii="仿宋_GB2312" w:eastAsia="仿宋_GB2312" w:hint="eastAsia"/>
          <w:color w:val="000000" w:themeColor="text1"/>
          <w:sz w:val="32"/>
          <w:szCs w:val="32"/>
        </w:rPr>
        <w:t>一</w:t>
      </w:r>
      <w:r>
        <w:rPr>
          <w:rFonts w:ascii="仿宋_GB2312" w:eastAsia="仿宋_GB2312" w:hint="eastAsia"/>
          <w:color w:val="000000" w:themeColor="text1"/>
          <w:sz w:val="32"/>
          <w:szCs w:val="32"/>
        </w:rPr>
        <w:t>次性资金支持。对经认定的软件和集成电路领域服务平台按照当年服务收入</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、最高不超过</w:t>
      </w:r>
      <w:r>
        <w:rPr>
          <w:rFonts w:ascii="仿宋_GB2312" w:eastAsia="仿宋_GB2312" w:hint="eastAsia"/>
          <w:color w:val="000000" w:themeColor="text1"/>
          <w:sz w:val="32"/>
          <w:szCs w:val="32"/>
        </w:rPr>
        <w:t>300</w:t>
      </w:r>
      <w:r>
        <w:rPr>
          <w:rFonts w:ascii="仿宋_GB2312" w:eastAsia="仿宋_GB2312" w:hint="eastAsia"/>
          <w:color w:val="000000" w:themeColor="text1"/>
          <w:sz w:val="32"/>
          <w:szCs w:val="32"/>
        </w:rPr>
        <w:t>万元给予资金支持补贴最多不超过</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第十七条</w:t>
      </w:r>
      <w:r>
        <w:rPr>
          <w:rFonts w:ascii="仿宋_GB2312" w:eastAsia="仿宋_GB2312" w:hint="eastAsia"/>
          <w:color w:val="000000" w:themeColor="text1"/>
          <w:sz w:val="32"/>
          <w:szCs w:val="32"/>
        </w:rPr>
        <w:t xml:space="preserve">　支持软件和集成电路企业建立人才实训基地。本科及以上学历学生在实训基地实践超过</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个月的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按照</w:t>
      </w:r>
      <w:r>
        <w:rPr>
          <w:rFonts w:ascii="仿宋_GB2312" w:eastAsia="仿宋_GB2312" w:hint="eastAsia"/>
          <w:color w:val="000000" w:themeColor="text1"/>
          <w:sz w:val="32"/>
          <w:szCs w:val="32"/>
        </w:rPr>
        <w:t>500</w:t>
      </w:r>
      <w:r>
        <w:rPr>
          <w:rFonts w:ascii="仿宋_GB2312" w:eastAsia="仿宋_GB2312" w:hint="eastAsia"/>
          <w:color w:val="000000" w:themeColor="text1"/>
          <w:sz w:val="32"/>
          <w:szCs w:val="32"/>
        </w:rPr>
        <w:t>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人标准给予企业补贴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单个企业每年最高不超过</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万元。鼓励企业优先吸纳参加实训的毕业生。优先支持软件和集成电路企业引进集聚产业紧缺人才。按照合肥市产业紧缺人才引进资助政策</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同等条件下</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引进产业紧缺人才资助指标优先向软件和集成电路企业倾斜。经批准纳入资助范围的人才</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年内分期给予每人</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万元生活补助</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市和县</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区、开发区各承担</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第十八条</w:t>
      </w:r>
      <w:r>
        <w:rPr>
          <w:rFonts w:ascii="仿宋_GB2312" w:eastAsia="仿宋_GB2312" w:hint="eastAsia"/>
          <w:color w:val="000000" w:themeColor="text1"/>
          <w:sz w:val="32"/>
          <w:szCs w:val="32"/>
        </w:rPr>
        <w:t xml:space="preserve">　软件和集成电路高层次人才及其雇佣单位可按照相关政策</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享受</w:t>
      </w:r>
      <w:r>
        <w:rPr>
          <w:rFonts w:ascii="仿宋_GB2312" w:eastAsia="仿宋_GB2312" w:hint="eastAsia"/>
          <w:color w:val="000000" w:themeColor="text1"/>
          <w:sz w:val="32"/>
          <w:szCs w:val="32"/>
        </w:rPr>
        <w:t>住房、生活配套服务、居留便利、个税优惠、</w:t>
      </w:r>
      <w:r>
        <w:rPr>
          <w:rFonts w:ascii="仿宋_GB2312" w:eastAsia="仿宋_GB2312" w:hint="eastAsia"/>
          <w:color w:val="000000" w:themeColor="text1"/>
          <w:sz w:val="32"/>
          <w:szCs w:val="32"/>
        </w:rPr>
        <w:lastRenderedPageBreak/>
        <w:t>知识价值激励、职称绿色通道、企业引才补贴等方面的待遇</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（一）</w:t>
      </w:r>
      <w:r>
        <w:rPr>
          <w:rFonts w:ascii="仿宋_GB2312" w:eastAsia="仿宋_GB2312" w:hint="eastAsia"/>
          <w:b/>
          <w:bCs/>
          <w:color w:val="000000" w:themeColor="text1"/>
          <w:sz w:val="32"/>
          <w:szCs w:val="32"/>
        </w:rPr>
        <w:t>住房。</w:t>
      </w:r>
      <w:r>
        <w:rPr>
          <w:rFonts w:ascii="仿宋_GB2312" w:eastAsia="仿宋_GB2312" w:hint="eastAsia"/>
          <w:color w:val="000000" w:themeColor="text1"/>
          <w:sz w:val="32"/>
          <w:szCs w:val="32"/>
        </w:rPr>
        <w:t>新引进在本市落地投资额超</w:t>
      </w:r>
      <w:r>
        <w:rPr>
          <w:rFonts w:ascii="仿宋_GB2312" w:eastAsia="仿宋_GB2312" w:hint="eastAsia"/>
          <w:color w:val="000000" w:themeColor="text1"/>
          <w:sz w:val="32"/>
          <w:szCs w:val="32"/>
        </w:rPr>
        <w:t>50</w:t>
      </w:r>
      <w:r>
        <w:rPr>
          <w:rFonts w:ascii="仿宋_GB2312" w:eastAsia="仿宋_GB2312" w:hint="eastAsia"/>
          <w:color w:val="000000" w:themeColor="text1"/>
          <w:sz w:val="32"/>
          <w:szCs w:val="32"/>
        </w:rPr>
        <w:t>亿元、且近</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年累计完成投资额</w:t>
      </w:r>
      <w:r>
        <w:rPr>
          <w:rFonts w:ascii="仿宋_GB2312" w:eastAsia="仿宋_GB2312" w:hint="eastAsia"/>
          <w:color w:val="000000" w:themeColor="text1"/>
          <w:sz w:val="32"/>
          <w:szCs w:val="32"/>
        </w:rPr>
        <w:t>25</w:t>
      </w:r>
      <w:r>
        <w:rPr>
          <w:rFonts w:ascii="仿宋_GB2312" w:eastAsia="仿宋_GB2312" w:hint="eastAsia"/>
          <w:color w:val="000000" w:themeColor="text1"/>
          <w:sz w:val="32"/>
          <w:szCs w:val="32"/>
        </w:rPr>
        <w:t>亿元以上的软件和集成电路企业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在符合规划并完善用地等相关手续的前提下</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经批准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可利用自有存量国有建设用地或经批准获得的国有建设用地自行投资建设租赁型人才公寓。对产业引领型、人才密集型的重大项目</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可采用“一事一议”方式予以安居支持。符合合肥</w:t>
      </w:r>
      <w:bookmarkStart w:id="0" w:name="_GoBack"/>
      <w:bookmarkEnd w:id="0"/>
      <w:r>
        <w:rPr>
          <w:rFonts w:ascii="仿宋_GB2312" w:eastAsia="仿宋_GB2312" w:hint="eastAsia"/>
          <w:color w:val="000000" w:themeColor="text1"/>
          <w:sz w:val="32"/>
          <w:szCs w:val="32"/>
        </w:rPr>
        <w:t>市软件和集成电路产业高层次人才认定标准中</w:t>
      </w:r>
      <w:r>
        <w:rPr>
          <w:rFonts w:ascii="仿宋_GB2312" w:eastAsia="仿宋_GB2312" w:hint="eastAsia"/>
          <w:color w:val="000000" w:themeColor="text1"/>
          <w:sz w:val="32"/>
          <w:szCs w:val="32"/>
        </w:rPr>
        <w:t>E</w:t>
      </w:r>
      <w:r>
        <w:rPr>
          <w:rFonts w:ascii="仿宋_GB2312" w:eastAsia="仿宋_GB2312" w:hint="eastAsia"/>
          <w:color w:val="000000" w:themeColor="text1"/>
          <w:sz w:val="32"/>
          <w:szCs w:val="32"/>
        </w:rPr>
        <w:t>类及以上高层次人才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认定标准另行制定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下同</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本人及其配偶、未成年子女在本市无住房的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可按规定申请优先购买产权型人才公寓</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也可承租租赁型人才公寓。承租租赁型人才公寓的年限可</w:t>
      </w:r>
      <w:r>
        <w:rPr>
          <w:rFonts w:ascii="仿宋_GB2312" w:eastAsia="仿宋_GB2312" w:hint="eastAsia"/>
          <w:color w:val="000000" w:themeColor="text1"/>
          <w:sz w:val="32"/>
          <w:szCs w:val="32"/>
        </w:rPr>
        <w:t>放宽至</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鼓励各县</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区、开发区制定有</w:t>
      </w:r>
      <w:r>
        <w:rPr>
          <w:rFonts w:ascii="仿宋_GB2312" w:eastAsia="仿宋_GB2312" w:hint="eastAsia"/>
          <w:color w:val="000000" w:themeColor="text1"/>
          <w:sz w:val="32"/>
          <w:szCs w:val="32"/>
        </w:rPr>
        <w:t>竞争力</w:t>
      </w:r>
      <w:r>
        <w:rPr>
          <w:rFonts w:ascii="仿宋_GB2312" w:eastAsia="仿宋_GB2312" w:hint="eastAsia"/>
          <w:color w:val="000000" w:themeColor="text1"/>
          <w:sz w:val="32"/>
          <w:szCs w:val="32"/>
        </w:rPr>
        <w:t>的软件和集成电路企业人才租房补贴政策。软件和集成电路企业引进的技术技能型人才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符合《关于进一步支持人才来肥创新创业的若干政策》规定条件的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自该政策生效之日起落户后即可购买首套住房</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（二）</w:t>
      </w:r>
      <w:r>
        <w:rPr>
          <w:rFonts w:ascii="仿宋_GB2312" w:eastAsia="仿宋_GB2312" w:hint="eastAsia"/>
          <w:b/>
          <w:bCs/>
          <w:color w:val="000000" w:themeColor="text1"/>
          <w:sz w:val="32"/>
          <w:szCs w:val="32"/>
        </w:rPr>
        <w:t>生活服务。</w:t>
      </w:r>
      <w:r>
        <w:rPr>
          <w:rFonts w:ascii="仿宋_GB2312" w:eastAsia="仿宋_GB2312" w:hint="eastAsia"/>
          <w:color w:val="000000" w:themeColor="text1"/>
          <w:sz w:val="32"/>
          <w:szCs w:val="32"/>
        </w:rPr>
        <w:t>符合合肥市软件和集成电路产业高层次人才认定标准中</w:t>
      </w:r>
      <w:r>
        <w:rPr>
          <w:rFonts w:ascii="仿宋_GB2312" w:eastAsia="仿宋_GB2312" w:hint="eastAsia"/>
          <w:color w:val="000000" w:themeColor="text1"/>
          <w:sz w:val="32"/>
          <w:szCs w:val="32"/>
        </w:rPr>
        <w:t>D</w:t>
      </w:r>
      <w:r>
        <w:rPr>
          <w:rFonts w:ascii="仿宋_GB2312" w:eastAsia="仿宋_GB2312" w:hint="eastAsia"/>
          <w:color w:val="000000" w:themeColor="text1"/>
          <w:sz w:val="32"/>
          <w:szCs w:val="32"/>
        </w:rPr>
        <w:t>类及以上层次人才子女入学按照高层次人才政策给予保障</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其他人才子女入学保障由居住地所在县</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区、开发区统筹安排</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配偶安置工作由企业所在县</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市</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区、开发区协调落实。在合肥部分重点医院设立就医绿色通道和国际医疗部</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为市级</w:t>
      </w:r>
      <w:r>
        <w:rPr>
          <w:rFonts w:ascii="仿宋_GB2312" w:eastAsia="仿宋_GB2312" w:hint="eastAsia"/>
          <w:color w:val="000000" w:themeColor="text1"/>
          <w:sz w:val="32"/>
          <w:szCs w:val="32"/>
        </w:rPr>
        <w:t>及以上领军人才、外籍人才提供预约诊疗和</w:t>
      </w:r>
      <w:proofErr w:type="gramStart"/>
      <w:r>
        <w:rPr>
          <w:rFonts w:ascii="仿宋_GB2312" w:eastAsia="仿宋_GB2312" w:hint="eastAsia"/>
          <w:color w:val="000000" w:themeColor="text1"/>
          <w:sz w:val="32"/>
          <w:szCs w:val="32"/>
        </w:rPr>
        <w:t>导医</w:t>
      </w:r>
      <w:proofErr w:type="gramEnd"/>
      <w:r>
        <w:rPr>
          <w:rFonts w:ascii="仿宋_GB2312" w:eastAsia="仿宋_GB2312" w:hint="eastAsia"/>
          <w:color w:val="000000" w:themeColor="text1"/>
          <w:sz w:val="32"/>
          <w:szCs w:val="32"/>
        </w:rPr>
        <w:t>服务</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（三）</w:t>
      </w:r>
      <w:r>
        <w:rPr>
          <w:rFonts w:ascii="仿宋_GB2312" w:eastAsia="仿宋_GB2312" w:hint="eastAsia"/>
          <w:b/>
          <w:bCs/>
          <w:color w:val="000000" w:themeColor="text1"/>
          <w:sz w:val="32"/>
          <w:szCs w:val="32"/>
        </w:rPr>
        <w:t>居留便利。</w:t>
      </w:r>
      <w:r>
        <w:rPr>
          <w:rFonts w:ascii="仿宋_GB2312" w:eastAsia="仿宋_GB2312" w:hint="eastAsia"/>
          <w:color w:val="000000" w:themeColor="text1"/>
          <w:sz w:val="32"/>
          <w:szCs w:val="32"/>
        </w:rPr>
        <w:t>为外籍高层次人才居留和出入境提供便利。</w:t>
      </w:r>
      <w:r>
        <w:rPr>
          <w:rFonts w:ascii="仿宋_GB2312" w:eastAsia="仿宋_GB2312" w:hint="eastAsia"/>
          <w:color w:val="000000" w:themeColor="text1"/>
          <w:sz w:val="32"/>
          <w:szCs w:val="32"/>
        </w:rPr>
        <w:lastRenderedPageBreak/>
        <w:t>对符合认定标准的外籍高层次人才及其配偶、未成年子女</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经当地人才主管部门推荐</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可直接申请在华永久居留对在当地工作、学习、探亲以及从事私人事</w:t>
      </w:r>
      <w:proofErr w:type="gramStart"/>
      <w:r>
        <w:rPr>
          <w:rFonts w:ascii="仿宋_GB2312" w:eastAsia="仿宋_GB2312" w:hint="eastAsia"/>
          <w:color w:val="000000" w:themeColor="text1"/>
          <w:sz w:val="32"/>
          <w:szCs w:val="32"/>
        </w:rPr>
        <w:t>务需</w:t>
      </w:r>
      <w:proofErr w:type="gramEnd"/>
      <w:r>
        <w:rPr>
          <w:rFonts w:ascii="仿宋_GB2312" w:eastAsia="仿宋_GB2312" w:hint="eastAsia"/>
          <w:color w:val="000000" w:themeColor="text1"/>
          <w:sz w:val="32"/>
          <w:szCs w:val="32"/>
        </w:rPr>
        <w:t>长期居留的外籍华人</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可以按规定签发有效期</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年以内的居留许可</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在当地工作的外国人</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已连续两次申请办理工作类居留许可且无违法违规问题的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可以按规定签发有效期</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年以内的工作类居留许可。外籍人员已在本省连续工作满</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年、每年在我国境内实际居留累计不少于</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个月</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有稳定生活保障和住所</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工资性年收入和年缴纳个人所得</w:t>
      </w:r>
      <w:proofErr w:type="gramStart"/>
      <w:r>
        <w:rPr>
          <w:rFonts w:ascii="仿宋_GB2312" w:eastAsia="仿宋_GB2312" w:hint="eastAsia"/>
          <w:color w:val="000000" w:themeColor="text1"/>
          <w:sz w:val="32"/>
          <w:szCs w:val="32"/>
        </w:rPr>
        <w:t>税达到</w:t>
      </w:r>
      <w:proofErr w:type="gramEnd"/>
      <w:r>
        <w:rPr>
          <w:rFonts w:ascii="仿宋_GB2312" w:eastAsia="仿宋_GB2312" w:hint="eastAsia"/>
          <w:color w:val="000000" w:themeColor="text1"/>
          <w:sz w:val="32"/>
          <w:szCs w:val="32"/>
        </w:rPr>
        <w:t>规定标准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经工作单位推荐</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可以申请在华永久居留</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w:t>
      </w:r>
      <w:r>
        <w:rPr>
          <w:rFonts w:ascii="仿宋_GB2312" w:eastAsia="仿宋_GB2312" w:hint="eastAsia"/>
          <w:b/>
          <w:bCs/>
          <w:color w:val="000000" w:themeColor="text1"/>
          <w:sz w:val="32"/>
          <w:szCs w:val="32"/>
        </w:rPr>
        <w:t>四</w:t>
      </w:r>
      <w:r>
        <w:rPr>
          <w:rFonts w:ascii="仿宋_GB2312" w:eastAsia="仿宋_GB2312" w:hint="eastAsia"/>
          <w:b/>
          <w:bCs/>
          <w:color w:val="000000" w:themeColor="text1"/>
          <w:sz w:val="32"/>
          <w:szCs w:val="32"/>
        </w:rPr>
        <w:t>)</w:t>
      </w:r>
      <w:r>
        <w:rPr>
          <w:rFonts w:ascii="仿宋_GB2312" w:eastAsia="仿宋_GB2312" w:hint="eastAsia"/>
          <w:b/>
          <w:bCs/>
          <w:color w:val="000000" w:themeColor="text1"/>
          <w:sz w:val="32"/>
          <w:szCs w:val="32"/>
        </w:rPr>
        <w:t>个税优惠</w:t>
      </w:r>
      <w:r>
        <w:rPr>
          <w:rFonts w:ascii="仿宋_GB2312" w:eastAsia="仿宋_GB2312" w:hint="eastAsia"/>
          <w:b/>
          <w:bCs/>
          <w:color w:val="000000" w:themeColor="text1"/>
          <w:sz w:val="32"/>
          <w:szCs w:val="32"/>
        </w:rPr>
        <w:t>。</w:t>
      </w:r>
      <w:r>
        <w:rPr>
          <w:rFonts w:ascii="仿宋_GB2312" w:eastAsia="仿宋_GB2312" w:hint="eastAsia"/>
          <w:color w:val="000000" w:themeColor="text1"/>
          <w:sz w:val="32"/>
          <w:szCs w:val="32"/>
        </w:rPr>
        <w:t>非上市公司投予本公司员工的股权激励</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符合规定条件的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享受递延至转让该股权时适用</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税率征税优惠</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个人获得省级人民政府、国务院部委和中国人民解放</w:t>
      </w:r>
      <w:r>
        <w:rPr>
          <w:rFonts w:ascii="仿宋_GB2312" w:eastAsia="仿宋_GB2312" w:hint="eastAsia"/>
          <w:color w:val="000000" w:themeColor="text1"/>
          <w:sz w:val="32"/>
          <w:szCs w:val="32"/>
        </w:rPr>
        <w:t>军军</w:t>
      </w:r>
      <w:r>
        <w:rPr>
          <w:rFonts w:ascii="仿宋_GB2312" w:eastAsia="仿宋_GB2312" w:hint="eastAsia"/>
          <w:color w:val="000000" w:themeColor="text1"/>
          <w:sz w:val="32"/>
          <w:szCs w:val="32"/>
        </w:rPr>
        <w:t>以上单位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以及外国组织、国际组织颁发的科学教育、技术等方面的奖金</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免纳个人所得税</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个人</w:t>
      </w:r>
      <w:proofErr w:type="gramStart"/>
      <w:r>
        <w:rPr>
          <w:rFonts w:ascii="仿宋_GB2312" w:eastAsia="仿宋_GB2312" w:hint="eastAsia"/>
          <w:color w:val="000000" w:themeColor="text1"/>
          <w:sz w:val="32"/>
          <w:szCs w:val="32"/>
        </w:rPr>
        <w:t>因做出</w:t>
      </w:r>
      <w:proofErr w:type="gramEnd"/>
      <w:r>
        <w:rPr>
          <w:rFonts w:ascii="仿宋_GB2312" w:eastAsia="仿宋_GB2312" w:hint="eastAsia"/>
          <w:color w:val="000000" w:themeColor="text1"/>
          <w:sz w:val="32"/>
          <w:szCs w:val="32"/>
        </w:rPr>
        <w:t>突出贡献从省级以下政府及其所属部门取得的一次性奖励收入</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不论其奖金来源</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享受按“偶然所得”</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税率征收个税。</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第十九条</w:t>
      </w:r>
      <w:r>
        <w:rPr>
          <w:rFonts w:ascii="仿宋_GB2312" w:eastAsia="仿宋_GB2312" w:hint="eastAsia"/>
          <w:color w:val="000000" w:themeColor="text1"/>
          <w:sz w:val="32"/>
          <w:szCs w:val="32"/>
        </w:rPr>
        <w:t xml:space="preserve">　企业、机构、团队</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个人</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应做到诚信申请对违反国家、省及本市专项资金管理等有关规定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骗取、截留、挤占或挪用专项资金等行为</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收回拨付资金</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纳入征信体系</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取消</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年申请资格</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并依法追责。</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第二十条</w:t>
      </w:r>
      <w:r>
        <w:rPr>
          <w:rFonts w:ascii="仿宋_GB2312" w:eastAsia="仿宋_GB2312" w:hint="eastAsia"/>
          <w:color w:val="000000" w:themeColor="text1"/>
          <w:sz w:val="32"/>
          <w:szCs w:val="32"/>
        </w:rPr>
        <w:t xml:space="preserve">　本政策在合肥市范围内有效</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除具有有效期内失信行为信息的企业、单位、个人等主体外</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其他符合政策规定条</w:t>
      </w:r>
      <w:r>
        <w:rPr>
          <w:rFonts w:ascii="仿宋_GB2312" w:eastAsia="仿宋_GB2312" w:hint="eastAsia"/>
          <w:color w:val="000000" w:themeColor="text1"/>
          <w:sz w:val="32"/>
          <w:szCs w:val="32"/>
        </w:rPr>
        <w:lastRenderedPageBreak/>
        <w:t>件的主体均能享受本政策支持在国家、省、市相关政策有重大调整时</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根据实际情况调整本政策。本政策与各级其他财政政策原则上不重复享受。享受市级重大项目政策支持的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不再重复享受市级投资补助类扶持政策。</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第二十一条</w:t>
      </w:r>
      <w:r>
        <w:rPr>
          <w:rFonts w:ascii="仿宋_GB2312" w:eastAsia="仿宋_GB2312" w:hint="eastAsia"/>
          <w:color w:val="000000" w:themeColor="text1"/>
          <w:sz w:val="32"/>
          <w:szCs w:val="32"/>
        </w:rPr>
        <w:t xml:space="preserve">　本政策由</w:t>
      </w:r>
      <w:proofErr w:type="gramStart"/>
      <w:r>
        <w:rPr>
          <w:rFonts w:ascii="仿宋_GB2312" w:eastAsia="仿宋_GB2312" w:hint="eastAsia"/>
          <w:color w:val="000000" w:themeColor="text1"/>
          <w:sz w:val="32"/>
          <w:szCs w:val="32"/>
        </w:rPr>
        <w:t>市发改委</w:t>
      </w:r>
      <w:proofErr w:type="gramEnd"/>
      <w:r>
        <w:rPr>
          <w:rFonts w:ascii="仿宋_GB2312" w:eastAsia="仿宋_GB2312" w:hint="eastAsia"/>
          <w:color w:val="000000" w:themeColor="text1"/>
          <w:sz w:val="32"/>
          <w:szCs w:val="32"/>
        </w:rPr>
        <w:t>、市</w:t>
      </w:r>
      <w:proofErr w:type="gramStart"/>
      <w:r>
        <w:rPr>
          <w:rFonts w:ascii="仿宋_GB2312" w:eastAsia="仿宋_GB2312" w:hint="eastAsia"/>
          <w:color w:val="000000" w:themeColor="text1"/>
          <w:sz w:val="32"/>
          <w:szCs w:val="32"/>
        </w:rPr>
        <w:t>经信委会同</w:t>
      </w:r>
      <w:proofErr w:type="gramEnd"/>
      <w:r>
        <w:rPr>
          <w:rFonts w:ascii="仿宋_GB2312" w:eastAsia="仿宋_GB2312" w:hint="eastAsia"/>
          <w:color w:val="000000" w:themeColor="text1"/>
          <w:sz w:val="32"/>
          <w:szCs w:val="32"/>
        </w:rPr>
        <w:t>有关部门制订细则。</w:t>
      </w:r>
    </w:p>
    <w:p w:rsidR="0070665E" w:rsidRDefault="00DC4F46">
      <w:pPr>
        <w:spacing w:line="560" w:lineRule="exact"/>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第二十二条</w:t>
      </w:r>
      <w:r>
        <w:rPr>
          <w:rFonts w:ascii="仿宋_GB2312" w:eastAsia="仿宋_GB2312" w:hint="eastAsia"/>
          <w:color w:val="000000" w:themeColor="text1"/>
          <w:sz w:val="32"/>
          <w:szCs w:val="32"/>
        </w:rPr>
        <w:t xml:space="preserve">　本政策自</w:t>
      </w:r>
      <w:r>
        <w:rPr>
          <w:rFonts w:ascii="仿宋_GB2312" w:eastAsia="仿宋_GB2312" w:hint="eastAsia"/>
          <w:color w:val="000000" w:themeColor="text1"/>
          <w:sz w:val="32"/>
          <w:szCs w:val="32"/>
        </w:rPr>
        <w:t>2018</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日起施行</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有效期</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w:t>
      </w:r>
    </w:p>
    <w:sectPr w:rsidR="0070665E">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F46" w:rsidRDefault="00DC4F46">
      <w:r>
        <w:separator/>
      </w:r>
    </w:p>
  </w:endnote>
  <w:endnote w:type="continuationSeparator" w:id="0">
    <w:p w:rsidR="00DC4F46" w:rsidRDefault="00DC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65E" w:rsidRDefault="00DC4F46">
    <w:pPr>
      <w:pStyle w:val="a3"/>
    </w:pPr>
    <w:r>
      <w:rPr>
        <w:noProof/>
      </w:rPr>
      <mc:AlternateContent>
        <mc:Choice Requires="wps">
          <w:drawing>
            <wp:anchor distT="0" distB="0" distL="114300" distR="114300" simplePos="0" relativeHeight="251658240" behindDoc="0" locked="0" layoutInCell="1" allowOverlap="1" wp14:anchorId="12A11510" wp14:editId="48B1BD5C">
              <wp:simplePos x="0" y="0"/>
              <wp:positionH relativeFrom="margin">
                <wp:align>outside</wp:align>
              </wp:positionH>
              <wp:positionV relativeFrom="paragraph">
                <wp:posOffset>-237490</wp:posOffset>
              </wp:positionV>
              <wp:extent cx="511175" cy="3835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1175" cy="383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0665E" w:rsidRPr="00EF296B" w:rsidRDefault="00DC4F46" w:rsidP="00EF296B">
                          <w:pPr>
                            <w:pStyle w:val="a3"/>
                            <w:jc w:val="center"/>
                            <w:rPr>
                              <w:rFonts w:ascii="仿宋_GB2312" w:eastAsia="仿宋_GB2312" w:hAnsi="仿宋_GB2312" w:cs="仿宋_GB2312"/>
                              <w:sz w:val="32"/>
                              <w:szCs w:val="32"/>
                              <w:u w:val="single" w:color="FFFFFF" w:themeColor="background1"/>
                            </w:rPr>
                          </w:pPr>
                          <w:r w:rsidRPr="00EF296B">
                            <w:rPr>
                              <w:rFonts w:ascii="仿宋_GB2312" w:eastAsia="仿宋_GB2312" w:hAnsi="仿宋_GB2312" w:cs="仿宋_GB2312" w:hint="eastAsia"/>
                              <w:sz w:val="32"/>
                              <w:szCs w:val="32"/>
                              <w:u w:val="single" w:color="FFFFFF" w:themeColor="background1"/>
                            </w:rPr>
                            <w:fldChar w:fldCharType="begin"/>
                          </w:r>
                          <w:r w:rsidRPr="00EF296B">
                            <w:rPr>
                              <w:rFonts w:ascii="仿宋_GB2312" w:eastAsia="仿宋_GB2312" w:hAnsi="仿宋_GB2312" w:cs="仿宋_GB2312"/>
                              <w:sz w:val="32"/>
                              <w:szCs w:val="32"/>
                              <w:u w:val="single" w:color="FFFFFF" w:themeColor="background1"/>
                            </w:rPr>
                            <w:instrText xml:space="preserve"> PAGE  \* MERGEFORMAT </w:instrText>
                          </w:r>
                          <w:r w:rsidRPr="00EF296B">
                            <w:rPr>
                              <w:rFonts w:ascii="仿宋_GB2312" w:eastAsia="仿宋_GB2312" w:hAnsi="仿宋_GB2312" w:cs="仿宋_GB2312" w:hint="eastAsia"/>
                              <w:sz w:val="32"/>
                              <w:szCs w:val="32"/>
                              <w:u w:val="single" w:color="FFFFFF" w:themeColor="background1"/>
                            </w:rPr>
                            <w:fldChar w:fldCharType="separate"/>
                          </w:r>
                          <w:r w:rsidR="00EF296B">
                            <w:rPr>
                              <w:rFonts w:ascii="仿宋_GB2312" w:eastAsia="仿宋_GB2312" w:hAnsi="仿宋_GB2312" w:cs="仿宋_GB2312"/>
                              <w:noProof/>
                              <w:sz w:val="32"/>
                              <w:szCs w:val="32"/>
                              <w:u w:val="single" w:color="FFFFFF" w:themeColor="background1"/>
                            </w:rPr>
                            <w:t>8</w:t>
                          </w:r>
                          <w:r w:rsidRPr="00EF296B">
                            <w:rPr>
                              <w:rFonts w:ascii="仿宋_GB2312" w:eastAsia="仿宋_GB2312" w:hAnsi="仿宋_GB2312" w:cs="仿宋_GB2312" w:hint="eastAsia"/>
                              <w:sz w:val="32"/>
                              <w:szCs w:val="32"/>
                              <w:u w:val="single" w:color="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0.95pt;margin-top:-18.7pt;width:40.25pt;height:30.2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reaAIAAAoFAAAOAAAAZHJzL2Uyb0RvYy54bWysVM1uEzEQviPxDpbvZJOGlCrKpgqpgpAi&#10;WhEQZ8drJytsj7Gd7IYHgDfgxIU7z5XnYOz9KSpcirh4Zz3f/H0z49l1rRU5CudLMDkdDYaUCMOh&#10;KM0up+/frZ5dUeIDMwVTYEROT8LT6/nTJ7PKTsUF7EEVwhF0Yvy0sjndh2CnWeb5XmjmB2CFQaUE&#10;p1nAX7fLCscq9K5VdjEcXmYVuMI64MJ7vL1plHSe/EspeLiV0otAVE4xt5BOl85tPLP5jE13jtl9&#10;yds02D9koVlpMGjv6oYFRg6u/MOVLrkDDzIMOOgMpCy5SDVgNaPhg2o2e2ZFqgXJ8banyf8/t/zN&#10;8c6RssDeUWKYxhadv309f/95/vGFjCI9lfVTRG0s4kL9EuoIbe89Xsaqa+l0/GI9BPVI9KknV9SB&#10;cLycjEajFxNKOKrGV+PJ80R+dm9snQ+vBGgShZw67F2ilB3XPmBAhHaQGMvAqlQq9U8ZUuX0cjwZ&#10;JoNegxbKoGEsoUk1SeGkRPSgzFshsfaUcbxIUyeWypEjw3lhnAsTUrHJE6IjSmLYxxi2+Ggq0kQ+&#10;xri3SJHBhN5YlwZcqvdB2sXHLmXZ4DsGmrojBaHe1m0Lt1CcsLMOmtXwlq9K5H/NfLhjDncBm4n7&#10;HW7xkAqQZ2glSvbgPv/tPuJxRFFLSYW7lVP/6cCcoES9Nji8cRE7wXXCthPMQS8B6ceBxGySiAYu&#10;qE6UDvQHXPtFjIIqZjjGymnoxGVoNhyfDS4WiwTCdbMsrM3G8ug60mlgcQggyzRckZaGi5YuXLg0&#10;c+3jEDf69/+Eun/C5r8AAAD//wMAUEsDBBQABgAIAAAAIQCIZ9ov3QAAAAYBAAAPAAAAZHJzL2Rv&#10;d25yZXYueG1sTI9LT8MwEITvSPwHa5G4tXZbHlWIUyEeN55tkeDmxEsSEa8je5OGf485wXE0o5lv&#10;8s3kOjFiiK0nDYu5AoFUedtSrWG/u5+tQUQ2ZE3nCTV8Y4RNcXyUm8z6A73iuOVapBKKmdHQMPeZ&#10;lLFq0Jk49z1S8j59cIaTDLW0wRxSuevkUqkL6UxLaaExPd40WH1tB6ehe4/hoVT8Md7Wj/zyLIe3&#10;u8WT1qcn0/UVCMaJ/8Lwi5/QoUhMpR/IRtFpSEdYw2x1eQYi2Wt1DqLUsFwpkEUu/+MXPwAAAP//&#10;AwBQSwECLQAUAAYACAAAACEAtoM4kv4AAADhAQAAEwAAAAAAAAAAAAAAAAAAAAAAW0NvbnRlbnRf&#10;VHlwZXNdLnhtbFBLAQItABQABgAIAAAAIQA4/SH/1gAAAJQBAAALAAAAAAAAAAAAAAAAAC8BAABf&#10;cmVscy8ucmVsc1BLAQItABQABgAIAAAAIQDmZwreaAIAAAoFAAAOAAAAAAAAAAAAAAAAAC4CAABk&#10;cnMvZTJvRG9jLnhtbFBLAQItABQABgAIAAAAIQCIZ9ov3QAAAAYBAAAPAAAAAAAAAAAAAAAAAMIE&#10;AABkcnMvZG93bnJldi54bWxQSwUGAAAAAAQABADzAAAAzAUAAAAA&#10;" filled="f" stroked="f" strokeweight=".5pt">
              <v:textbox inset="0,0,0,0">
                <w:txbxContent>
                  <w:p w:rsidR="0070665E" w:rsidRPr="00EF296B" w:rsidRDefault="00DC4F46" w:rsidP="00EF296B">
                    <w:pPr>
                      <w:pStyle w:val="a3"/>
                      <w:jc w:val="center"/>
                      <w:rPr>
                        <w:rFonts w:ascii="仿宋_GB2312" w:eastAsia="仿宋_GB2312" w:hAnsi="仿宋_GB2312" w:cs="仿宋_GB2312"/>
                        <w:sz w:val="32"/>
                        <w:szCs w:val="32"/>
                        <w:u w:val="single" w:color="FFFFFF" w:themeColor="background1"/>
                      </w:rPr>
                    </w:pPr>
                    <w:r w:rsidRPr="00EF296B">
                      <w:rPr>
                        <w:rFonts w:ascii="仿宋_GB2312" w:eastAsia="仿宋_GB2312" w:hAnsi="仿宋_GB2312" w:cs="仿宋_GB2312" w:hint="eastAsia"/>
                        <w:sz w:val="32"/>
                        <w:szCs w:val="32"/>
                        <w:u w:val="single" w:color="FFFFFF" w:themeColor="background1"/>
                      </w:rPr>
                      <w:fldChar w:fldCharType="begin"/>
                    </w:r>
                    <w:r w:rsidRPr="00EF296B">
                      <w:rPr>
                        <w:rFonts w:ascii="仿宋_GB2312" w:eastAsia="仿宋_GB2312" w:hAnsi="仿宋_GB2312" w:cs="仿宋_GB2312"/>
                        <w:sz w:val="32"/>
                        <w:szCs w:val="32"/>
                        <w:u w:val="single" w:color="FFFFFF" w:themeColor="background1"/>
                      </w:rPr>
                      <w:instrText xml:space="preserve"> PAGE  \* MERGEFORMAT </w:instrText>
                    </w:r>
                    <w:r w:rsidRPr="00EF296B">
                      <w:rPr>
                        <w:rFonts w:ascii="仿宋_GB2312" w:eastAsia="仿宋_GB2312" w:hAnsi="仿宋_GB2312" w:cs="仿宋_GB2312" w:hint="eastAsia"/>
                        <w:sz w:val="32"/>
                        <w:szCs w:val="32"/>
                        <w:u w:val="single" w:color="FFFFFF" w:themeColor="background1"/>
                      </w:rPr>
                      <w:fldChar w:fldCharType="separate"/>
                    </w:r>
                    <w:r w:rsidR="00EF296B">
                      <w:rPr>
                        <w:rFonts w:ascii="仿宋_GB2312" w:eastAsia="仿宋_GB2312" w:hAnsi="仿宋_GB2312" w:cs="仿宋_GB2312"/>
                        <w:noProof/>
                        <w:sz w:val="32"/>
                        <w:szCs w:val="32"/>
                        <w:u w:val="single" w:color="FFFFFF" w:themeColor="background1"/>
                      </w:rPr>
                      <w:t>8</w:t>
                    </w:r>
                    <w:r w:rsidRPr="00EF296B">
                      <w:rPr>
                        <w:rFonts w:ascii="仿宋_GB2312" w:eastAsia="仿宋_GB2312" w:hAnsi="仿宋_GB2312" w:cs="仿宋_GB2312" w:hint="eastAsia"/>
                        <w:sz w:val="32"/>
                        <w:szCs w:val="32"/>
                        <w:u w:val="single" w:color="FFFFFF" w:themeColor="background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F46" w:rsidRDefault="00DC4F46">
      <w:r>
        <w:separator/>
      </w:r>
    </w:p>
  </w:footnote>
  <w:footnote w:type="continuationSeparator" w:id="0">
    <w:p w:rsidR="00DC4F46" w:rsidRDefault="00DC4F4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亮">
    <w15:presenceInfo w15:providerId="WPS Office" w15:userId="1218876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3A"/>
    <w:rsid w:val="00034D47"/>
    <w:rsid w:val="0070665E"/>
    <w:rsid w:val="00A06A3A"/>
    <w:rsid w:val="00B85AA5"/>
    <w:rsid w:val="00DC4F46"/>
    <w:rsid w:val="00DD43E5"/>
    <w:rsid w:val="00EF296B"/>
    <w:rsid w:val="07702815"/>
    <w:rsid w:val="120F47DF"/>
    <w:rsid w:val="14DD30C4"/>
    <w:rsid w:val="27911A87"/>
    <w:rsid w:val="2DE61CD5"/>
    <w:rsid w:val="50ED09CD"/>
    <w:rsid w:val="50F60FF6"/>
    <w:rsid w:val="5CF729AE"/>
    <w:rsid w:val="673011BE"/>
    <w:rsid w:val="6BCF111A"/>
    <w:rsid w:val="71CA7660"/>
    <w:rsid w:val="750E361C"/>
    <w:rsid w:val="788119EC"/>
    <w:rsid w:val="7D4B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uiPriority w:val="99"/>
    <w:semiHidden/>
    <w:unhideWhenUsed/>
    <w:rsid w:val="00EF296B"/>
    <w:rPr>
      <w:sz w:val="18"/>
      <w:szCs w:val="18"/>
    </w:rPr>
  </w:style>
  <w:style w:type="character" w:customStyle="1" w:styleId="Char">
    <w:name w:val="批注框文本 Char"/>
    <w:basedOn w:val="a0"/>
    <w:link w:val="a5"/>
    <w:uiPriority w:val="99"/>
    <w:semiHidden/>
    <w:rsid w:val="00EF296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uiPriority w:val="99"/>
    <w:semiHidden/>
    <w:unhideWhenUsed/>
    <w:rsid w:val="00EF296B"/>
    <w:rPr>
      <w:sz w:val="18"/>
      <w:szCs w:val="18"/>
    </w:rPr>
  </w:style>
  <w:style w:type="character" w:customStyle="1" w:styleId="Char">
    <w:name w:val="批注框文本 Char"/>
    <w:basedOn w:val="a0"/>
    <w:link w:val="a5"/>
    <w:uiPriority w:val="99"/>
    <w:semiHidden/>
    <w:rsid w:val="00EF29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628</Words>
  <Characters>3586</Characters>
  <Application>Microsoft Office Word</Application>
  <DocSecurity>0</DocSecurity>
  <Lines>29</Lines>
  <Paragraphs>8</Paragraphs>
  <ScaleCrop>false</ScaleCrop>
  <Company>微软中国</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汪杨</dc:creator>
  <cp:lastModifiedBy>F</cp:lastModifiedBy>
  <cp:revision>3</cp:revision>
  <dcterms:created xsi:type="dcterms:W3CDTF">2019-02-11T07:31:00Z</dcterms:created>
  <dcterms:modified xsi:type="dcterms:W3CDTF">2021-04-06T09:10:00Z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